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29DB1">
      <w:pPr>
        <w:keepNext w:val="0"/>
        <w:keepLines w:val="0"/>
        <w:pageBreakBefore w:val="0"/>
        <w:widowControl w:val="0"/>
        <w:kinsoku/>
        <w:wordWrap/>
        <w:overflowPunct/>
        <w:topLinePunct w:val="0"/>
        <w:autoSpaceDE/>
        <w:autoSpaceDN/>
        <w:bidi w:val="0"/>
        <w:adjustRightInd/>
        <w:snapToGrid/>
        <w:spacing w:line="600" w:lineRule="atLeast"/>
        <w:jc w:val="both"/>
        <w:textAlignment w:val="auto"/>
        <w:rPr>
          <w:rFonts w:hint="eastAsia" w:ascii="方正仿宋_GBK" w:hAnsi="方正仿宋_GBK" w:eastAsia="方正仿宋_GBK" w:cs="方正仿宋_GBK"/>
          <w:sz w:val="32"/>
          <w:szCs w:val="32"/>
          <w:lang w:eastAsia="zh-CN"/>
        </w:rPr>
      </w:pPr>
    </w:p>
    <w:p w14:paraId="3B46BB3E">
      <w:pPr>
        <w:keepNext w:val="0"/>
        <w:keepLines w:val="0"/>
        <w:pageBreakBefore w:val="0"/>
        <w:widowControl w:val="0"/>
        <w:shd w:val="clear" w:color="auto" w:fill="FFFFFF"/>
        <w:kinsoku/>
        <w:wordWrap/>
        <w:overflowPunct/>
        <w:topLinePunct w:val="0"/>
        <w:autoSpaceDE/>
        <w:autoSpaceDN/>
        <w:bidi w:val="0"/>
        <w:adjustRightInd/>
        <w:snapToGrid/>
        <w:spacing w:line="600" w:lineRule="atLeast"/>
        <w:jc w:val="both"/>
        <w:textAlignment w:val="auto"/>
        <w:rPr>
          <w:rFonts w:ascii="Times New Roman" w:hAnsi="Times New Roman" w:eastAsia="方正仿宋_GBK" w:cs="Times New Roman"/>
          <w:sz w:val="32"/>
          <w:szCs w:val="20"/>
        </w:rPr>
      </w:pPr>
      <w:bookmarkStart w:id="0" w:name="_GoBack"/>
      <w:bookmarkEnd w:id="0"/>
    </w:p>
    <w:p w14:paraId="77056DC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重庆市长寿区人民政府</w:t>
      </w:r>
    </w:p>
    <w:p w14:paraId="2D26C1D7">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highlight w:val="none"/>
        </w:rPr>
        <w:t>关于划定长寿区禁止开垦陡坡地范围的公告</w:t>
      </w:r>
    </w:p>
    <w:p w14:paraId="6B00E70C">
      <w:pPr>
        <w:keepNext w:val="0"/>
        <w:keepLines w:val="0"/>
        <w:pageBreakBefore w:val="0"/>
        <w:shd w:val="clear" w:color="auto" w:fill="FFFFFF"/>
        <w:kinsoku/>
        <w:wordWrap/>
        <w:overflowPunct/>
        <w:topLinePunct w:val="0"/>
        <w:autoSpaceDE/>
        <w:autoSpaceDN/>
        <w:bidi w:val="0"/>
        <w:adjustRightInd/>
        <w:snapToGrid/>
        <w:spacing w:line="600" w:lineRule="atLeast"/>
        <w:jc w:val="center"/>
        <w:textAlignment w:val="auto"/>
        <w:rPr>
          <w:rFonts w:ascii="Times New Roman" w:hAnsi="Times New Roman" w:eastAsia="方正仿宋_GBK" w:cs="Times New Roman"/>
          <w:sz w:val="32"/>
          <w:szCs w:val="20"/>
        </w:rPr>
      </w:pPr>
      <w:r>
        <w:rPr>
          <w:rFonts w:ascii="Times New Roman" w:hAnsi="Times New Roman" w:eastAsia="方正仿宋_GBK" w:cs="Times New Roman"/>
          <w:sz w:val="32"/>
          <w:szCs w:val="20"/>
        </w:rPr>
        <w:t>长寿府发〔202</w:t>
      </w:r>
      <w:r>
        <w:rPr>
          <w:rFonts w:hint="eastAsia" w:ascii="Times New Roman" w:hAnsi="Times New Roman" w:eastAsia="方正仿宋_GBK" w:cs="Times New Roman"/>
          <w:sz w:val="32"/>
          <w:szCs w:val="20"/>
          <w:lang w:val="en-US" w:eastAsia="zh-CN"/>
        </w:rPr>
        <w:t>5</w:t>
      </w:r>
      <w:r>
        <w:rPr>
          <w:rFonts w:ascii="Times New Roman" w:hAnsi="Times New Roman" w:eastAsia="方正仿宋_GBK" w:cs="Times New Roman"/>
          <w:sz w:val="32"/>
          <w:szCs w:val="20"/>
        </w:rPr>
        <w:t>〕</w:t>
      </w:r>
      <w:r>
        <w:rPr>
          <w:rFonts w:hint="eastAsia" w:ascii="Times New Roman" w:hAnsi="Times New Roman" w:eastAsia="方正仿宋_GBK" w:cs="Times New Roman"/>
          <w:sz w:val="32"/>
          <w:szCs w:val="20"/>
          <w:lang w:val="en-US" w:eastAsia="zh-CN"/>
        </w:rPr>
        <w:t>28</w:t>
      </w:r>
      <w:r>
        <w:rPr>
          <w:rFonts w:ascii="Times New Roman" w:hAnsi="Times New Roman" w:eastAsia="方正仿宋_GBK" w:cs="Times New Roman"/>
          <w:sz w:val="32"/>
          <w:szCs w:val="20"/>
        </w:rPr>
        <w:t>号</w:t>
      </w:r>
    </w:p>
    <w:p w14:paraId="33842837">
      <w:pPr>
        <w:keepNext w:val="0"/>
        <w:keepLines w:val="0"/>
        <w:pageBreakBefore w:val="0"/>
        <w:shd w:val="clear" w:color="auto" w:fill="FFFFFF"/>
        <w:kinsoku/>
        <w:wordWrap/>
        <w:overflowPunct/>
        <w:topLinePunct w:val="0"/>
        <w:autoSpaceDE/>
        <w:autoSpaceDN/>
        <w:bidi w:val="0"/>
        <w:adjustRightInd/>
        <w:snapToGrid/>
        <w:spacing w:line="600" w:lineRule="atLeast"/>
        <w:textAlignment w:val="auto"/>
        <w:rPr>
          <w:rFonts w:ascii="Times New Roman" w:hAnsi="Times New Roman" w:eastAsia="方正仿宋_GBK" w:cs="Times New Roman"/>
          <w:sz w:val="32"/>
          <w:szCs w:val="20"/>
        </w:rPr>
      </w:pPr>
    </w:p>
    <w:p w14:paraId="426BF3B0">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为预防和减轻水土流失，根据《中华人民共和国水土保持法》《重庆市实施〈中华人民共和国水土保持法〉办法》等相关法律法规，划定长寿区禁止开垦陡坡地范围，现将有关事项公告如下：</w:t>
      </w:r>
    </w:p>
    <w:p w14:paraId="2F1C6F5A">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一、禁止开垦陡坡地范围是指法律法规规定的禁止开垦坡度以上且位于耕地保护红线外的土地。</w:t>
      </w:r>
    </w:p>
    <w:p w14:paraId="625B970A">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二、全区禁止开垦陡坡地面积为108.84km</w:t>
      </w:r>
      <w:r>
        <w:rPr>
          <w:rFonts w:hint="default" w:ascii="Times New Roman" w:hAnsi="Times New Roman" w:eastAsia="方正仿宋_GBK" w:cs="Times New Roman"/>
          <w:color w:val="000000"/>
          <w:kern w:val="0"/>
          <w:sz w:val="32"/>
          <w:szCs w:val="32"/>
          <w:vertAlign w:val="superscript"/>
        </w:rPr>
        <w:t>2</w:t>
      </w:r>
      <w:r>
        <w:rPr>
          <w:rFonts w:hint="default" w:ascii="Times New Roman" w:hAnsi="Times New Roman" w:eastAsia="方正仿宋_GBK" w:cs="Times New Roman"/>
          <w:color w:val="000000"/>
          <w:kern w:val="0"/>
          <w:sz w:val="32"/>
          <w:szCs w:val="32"/>
        </w:rPr>
        <w:t>，范围涉及19个街镇。</w:t>
      </w:r>
    </w:p>
    <w:p w14:paraId="2E7551EB">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三、禁止开垦陡坡地范围内严禁新开垦种植农作物，已经开垦的按照国家有关法律法规及耕地保护、生态建设相关政策进行生态保护修复和监督管理。</w:t>
      </w:r>
    </w:p>
    <w:p w14:paraId="3A4E6ED3">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四、在禁止开垦陡坡地范围内种植经济林的，应当科学选择树种，合理确定规模，采取水土保持措施，防止造成水土流失。</w:t>
      </w:r>
    </w:p>
    <w:p w14:paraId="4DB97375">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五、违反本公告规定的，在禁止开垦陡坡地上开垦种植农作物的，按照《中华人民共和国水土保持法》等相关法律法规规定予以处理。</w:t>
      </w:r>
    </w:p>
    <w:p w14:paraId="7C9755C9">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六、本公告自公布之日起执行。</w:t>
      </w:r>
    </w:p>
    <w:p w14:paraId="5ABE7B80">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特此公告。</w:t>
      </w:r>
    </w:p>
    <w:p w14:paraId="54FE5CE2">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p>
    <w:p w14:paraId="3A182D5D">
      <w:pPr>
        <w:keepNext w:val="0"/>
        <w:keepLines w:val="0"/>
        <w:pageBreakBefore w:val="0"/>
        <w:widowControl w:val="0"/>
        <w:kinsoku/>
        <w:overflowPunct/>
        <w:topLinePunct w:val="0"/>
        <w:autoSpaceDE/>
        <w:autoSpaceDN/>
        <w:bidi w:val="0"/>
        <w:adjustRightInd/>
        <w:snapToGrid/>
        <w:spacing w:line="240" w:lineRule="auto"/>
        <w:ind w:firstLine="632"/>
        <w:textAlignment w:val="auto"/>
        <w:outlineLvl w:val="0"/>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附件：1.长寿区禁止开垦陡坡地面积统计表</w:t>
      </w:r>
    </w:p>
    <w:p w14:paraId="4D94C6D7">
      <w:pPr>
        <w:keepNext w:val="0"/>
        <w:keepLines w:val="0"/>
        <w:pageBreakBefore w:val="0"/>
        <w:widowControl w:val="0"/>
        <w:kinsoku/>
        <w:overflowPunct/>
        <w:topLinePunct w:val="0"/>
        <w:autoSpaceDE/>
        <w:autoSpaceDN/>
        <w:bidi w:val="0"/>
        <w:adjustRightInd/>
        <w:snapToGrid/>
        <w:spacing w:line="240" w:lineRule="auto"/>
        <w:ind w:firstLine="1600" w:firstLineChars="500"/>
        <w:textAlignment w:val="auto"/>
        <w:outlineLvl w:val="0"/>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2.长寿区禁止开垦陡坡地划定成果分布示意图</w:t>
      </w:r>
    </w:p>
    <w:p w14:paraId="529B35A8">
      <w:pPr>
        <w:pStyle w:val="4"/>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方正仿宋_GBK" w:cs="Times New Roman"/>
          <w:color w:val="000000"/>
          <w:kern w:val="0"/>
          <w:sz w:val="32"/>
          <w:szCs w:val="32"/>
        </w:rPr>
      </w:pPr>
    </w:p>
    <w:p w14:paraId="406A7236">
      <w:pPr>
        <w:pStyle w:val="4"/>
        <w:keepNext w:val="0"/>
        <w:keepLines w:val="0"/>
        <w:pageBreakBefore w:val="0"/>
        <w:widowControl w:val="0"/>
        <w:kinsoku/>
        <w:overflowPunct/>
        <w:topLinePunct w:val="0"/>
        <w:autoSpaceDE/>
        <w:autoSpaceDN/>
        <w:bidi w:val="0"/>
        <w:adjustRightInd/>
        <w:snapToGrid/>
        <w:spacing w:line="240" w:lineRule="auto"/>
        <w:ind w:firstLine="0"/>
        <w:textAlignment w:val="auto"/>
        <w:rPr>
          <w:rFonts w:hint="default" w:ascii="Times New Roman" w:hAnsi="Times New Roman" w:eastAsia="方正仿宋_GBK" w:cs="Times New Roman"/>
          <w:color w:val="000000"/>
          <w:kern w:val="0"/>
          <w:sz w:val="32"/>
          <w:szCs w:val="32"/>
        </w:rPr>
      </w:pPr>
    </w:p>
    <w:p w14:paraId="57DA6509">
      <w:pPr>
        <w:keepNext w:val="0"/>
        <w:keepLines w:val="0"/>
        <w:pageBreakBefore w:val="0"/>
        <w:widowControl w:val="0"/>
        <w:kinsoku/>
        <w:overflowPunct/>
        <w:topLinePunct w:val="0"/>
        <w:autoSpaceDE/>
        <w:autoSpaceDN/>
        <w:bidi w:val="0"/>
        <w:adjustRightInd/>
        <w:snapToGrid/>
        <w:spacing w:line="240" w:lineRule="auto"/>
        <w:ind w:firstLine="632"/>
        <w:textAlignment w:val="auto"/>
        <w:rPr>
          <w:rFonts w:hint="default" w:ascii="Times New Roman" w:hAnsi="Times New Roman" w:eastAsia="方正仿宋_GBK" w:cs="Times New Roman"/>
          <w:color w:val="000000"/>
          <w:kern w:val="0"/>
          <w:sz w:val="32"/>
          <w:szCs w:val="32"/>
        </w:rPr>
      </w:pPr>
    </w:p>
    <w:p w14:paraId="1402BCEA">
      <w:pPr>
        <w:pStyle w:val="4"/>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 xml:space="preserve">              重庆市长寿区人民政府</w:t>
      </w:r>
    </w:p>
    <w:p w14:paraId="44FF5F80">
      <w:pPr>
        <w:keepNext w:val="0"/>
        <w:keepLines w:val="0"/>
        <w:pageBreakBefore w:val="0"/>
        <w:shd w:val="clear" w:color="auto" w:fill="FFFFFF"/>
        <w:kinsoku/>
        <w:wordWrap/>
        <w:overflowPunct/>
        <w:topLinePunct w:val="0"/>
        <w:autoSpaceDE/>
        <w:autoSpaceDN/>
        <w:bidi w:val="0"/>
        <w:adjustRightInd/>
        <w:snapToGrid/>
        <w:spacing w:line="540" w:lineRule="exact"/>
        <w:ind w:right="840" w:rightChars="400"/>
        <w:jc w:val="center"/>
        <w:textAlignment w:val="auto"/>
        <w:rPr>
          <w:rFonts w:ascii="Times New Roman" w:hAnsi="Times New Roman" w:eastAsia="方正仿宋_GBK" w:cs="Times New Roman"/>
          <w:sz w:val="32"/>
          <w:szCs w:val="20"/>
        </w:rPr>
      </w:pPr>
      <w:r>
        <w:rPr>
          <w:rFonts w:hint="default" w:ascii="Times New Roman" w:hAnsi="Times New Roman" w:eastAsia="方正仿宋_GBK" w:cs="Times New Roman"/>
          <w:color w:val="000000"/>
          <w:kern w:val="0"/>
          <w:sz w:val="32"/>
          <w:szCs w:val="32"/>
        </w:rPr>
        <w:t xml:space="preserve">                 </w:t>
      </w:r>
      <w:r>
        <w:rPr>
          <w:rFonts w:hint="eastAsia" w:ascii="Times New Roman" w:hAnsi="Times New Roman" w:eastAsia="方正仿宋_GBK" w:cs="Times New Roman"/>
          <w:color w:val="000000"/>
          <w:kern w:val="0"/>
          <w:sz w:val="32"/>
          <w:szCs w:val="32"/>
          <w:lang w:val="en-US" w:eastAsia="zh-CN"/>
        </w:rPr>
        <w:t xml:space="preserve">       </w:t>
      </w:r>
      <w:r>
        <w:rPr>
          <w:rFonts w:hint="default" w:ascii="Times New Roman" w:hAnsi="Times New Roman" w:eastAsia="方正仿宋_GBK" w:cs="Times New Roman"/>
          <w:color w:val="000000"/>
          <w:kern w:val="0"/>
          <w:sz w:val="32"/>
          <w:szCs w:val="32"/>
        </w:rPr>
        <w:t>2025年</w:t>
      </w:r>
      <w:r>
        <w:rPr>
          <w:rFonts w:hint="default" w:ascii="Times New Roman" w:hAnsi="Times New Roman" w:eastAsia="方正仿宋_GBK" w:cs="Times New Roman"/>
          <w:color w:val="000000"/>
          <w:kern w:val="0"/>
          <w:sz w:val="32"/>
          <w:szCs w:val="32"/>
          <w:lang w:val="en-US" w:eastAsia="zh-CN"/>
        </w:rPr>
        <w:t>7</w:t>
      </w:r>
      <w:r>
        <w:rPr>
          <w:rFonts w:hint="default" w:ascii="Times New Roman" w:hAnsi="Times New Roman" w:eastAsia="方正仿宋_GBK" w:cs="Times New Roman"/>
          <w:color w:val="000000"/>
          <w:kern w:val="0"/>
          <w:sz w:val="32"/>
          <w:szCs w:val="32"/>
        </w:rPr>
        <w:t>月</w:t>
      </w:r>
      <w:r>
        <w:rPr>
          <w:rFonts w:hint="eastAsia" w:ascii="Times New Roman" w:hAnsi="Times New Roman" w:cs="Times New Roman"/>
          <w:color w:val="000000"/>
          <w:kern w:val="0"/>
          <w:sz w:val="32"/>
          <w:szCs w:val="32"/>
          <w:lang w:val="en-US" w:eastAsia="zh-CN"/>
        </w:rPr>
        <w:t>15</w:t>
      </w:r>
      <w:r>
        <w:rPr>
          <w:rFonts w:hint="default" w:ascii="Times New Roman" w:hAnsi="Times New Roman" w:eastAsia="方正仿宋_GBK" w:cs="Times New Roman"/>
          <w:color w:val="000000"/>
          <w:kern w:val="0"/>
          <w:sz w:val="32"/>
          <w:szCs w:val="32"/>
        </w:rPr>
        <w:t>日</w:t>
      </w:r>
    </w:p>
    <w:p w14:paraId="1F4679D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r>
        <w:rPr>
          <w:rFonts w:hint="eastAsia" w:ascii="Cambria" w:hAnsi="Cambria" w:eastAsia="方正仿宋_GBK" w:cs="Times New Roman"/>
          <w:sz w:val="32"/>
          <w:szCs w:val="20"/>
        </w:rPr>
        <w:t>（此件公开发布</w:t>
      </w:r>
      <w:r>
        <w:rPr>
          <w:rFonts w:hint="eastAsia" w:ascii="Cambria" w:hAnsi="Cambria" w:eastAsia="方正仿宋_GBK" w:cs="Times New Roman"/>
          <w:sz w:val="32"/>
          <w:szCs w:val="20"/>
          <w:lang w:eastAsia="zh-CN"/>
        </w:rPr>
        <w:t>）</w:t>
      </w:r>
    </w:p>
    <w:p w14:paraId="07C4C4B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7F801E2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3A5233B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6B5C9D7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622590D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3C33FB0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1ED71C3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3CBDAFC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eastAsia="zh-CN"/>
        </w:rPr>
      </w:pPr>
    </w:p>
    <w:p w14:paraId="44E9EE1E">
      <w:pPr>
        <w:spacing w:line="596" w:lineRule="exact"/>
        <w:ind w:firstLine="0" w:firstLineChars="0"/>
        <w:outlineLvl w:val="0"/>
        <w:rPr>
          <w:rFonts w:hint="eastAsia" w:ascii="方正黑体_GBK" w:hAnsi="方正黑体_GBK" w:eastAsia="方正黑体_GBK" w:cs="方正黑体_GBK"/>
          <w:sz w:val="32"/>
          <w:szCs w:val="32"/>
        </w:rPr>
      </w:pPr>
    </w:p>
    <w:p w14:paraId="05D80E18">
      <w:pPr>
        <w:spacing w:line="596" w:lineRule="exact"/>
        <w:ind w:firstLine="0" w:firstLineChars="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14:paraId="55A8D71E">
      <w:pPr>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left"/>
        <w:textAlignment w:val="auto"/>
        <w:outlineLvl w:val="0"/>
        <w:rPr>
          <w:rFonts w:hint="eastAsia" w:ascii="宋体" w:hAnsi="宋体" w:eastAsia="宋体" w:cs="宋体"/>
          <w:b/>
          <w:bCs/>
          <w:kern w:val="36"/>
          <w:sz w:val="48"/>
          <w:szCs w:val="48"/>
          <w:lang w:val="en-US" w:eastAsia="zh-CN" w:bidi="ar-SA"/>
        </w:rPr>
      </w:pPr>
    </w:p>
    <w:p w14:paraId="12B4C633">
      <w:pPr>
        <w:keepNext w:val="0"/>
        <w:keepLines w:val="0"/>
        <w:pageBreakBefore w:val="0"/>
        <w:kinsoku/>
        <w:wordWrap/>
        <w:overflowPunct/>
        <w:topLinePunct w:val="0"/>
        <w:autoSpaceDE/>
        <w:autoSpaceDN/>
        <w:bidi w:val="0"/>
        <w:adjustRightInd/>
        <w:snapToGrid/>
        <w:spacing w:beforeAutospacing="0" w:afterAutospacing="0"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长寿区禁止开垦陡坡地面积统计表</w:t>
      </w:r>
    </w:p>
    <w:p w14:paraId="1BD4EDA2">
      <w:pPr>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left"/>
        <w:textAlignment w:val="auto"/>
        <w:outlineLvl w:val="0"/>
        <w:rPr>
          <w:rFonts w:hint="eastAsia" w:ascii="宋体" w:hAnsi="宋体" w:eastAsia="宋体" w:cs="宋体"/>
          <w:b/>
          <w:bCs/>
          <w:kern w:val="36"/>
          <w:sz w:val="48"/>
          <w:szCs w:val="48"/>
          <w:lang w:val="en-US" w:eastAsia="zh-CN" w:bidi="ar-SA"/>
        </w:rPr>
      </w:pPr>
    </w:p>
    <w:tbl>
      <w:tblPr>
        <w:tblStyle w:val="12"/>
        <w:tblW w:w="4987" w:type="pct"/>
        <w:tblInd w:w="0" w:type="dxa"/>
        <w:tblLayout w:type="autofit"/>
        <w:tblCellMar>
          <w:top w:w="0" w:type="dxa"/>
          <w:left w:w="108" w:type="dxa"/>
          <w:bottom w:w="0" w:type="dxa"/>
          <w:right w:w="108" w:type="dxa"/>
        </w:tblCellMar>
      </w:tblPr>
      <w:tblGrid>
        <w:gridCol w:w="1764"/>
        <w:gridCol w:w="2045"/>
        <w:gridCol w:w="1765"/>
        <w:gridCol w:w="1696"/>
        <w:gridCol w:w="1767"/>
      </w:tblGrid>
      <w:tr w14:paraId="0ED41E5B">
        <w:tblPrEx>
          <w:tblCellMar>
            <w:top w:w="0" w:type="dxa"/>
            <w:left w:w="108" w:type="dxa"/>
            <w:bottom w:w="0" w:type="dxa"/>
            <w:right w:w="108" w:type="dxa"/>
          </w:tblCellMar>
        </w:tblPrEx>
        <w:trPr>
          <w:trHeight w:val="921" w:hRule="atLeast"/>
          <w:tblHeader/>
        </w:trPr>
        <w:tc>
          <w:tcPr>
            <w:tcW w:w="976" w:type="pct"/>
            <w:tcBorders>
              <w:top w:val="single" w:color="000000" w:sz="4" w:space="0"/>
              <w:left w:val="single" w:color="000000" w:sz="4" w:space="0"/>
              <w:bottom w:val="single" w:color="000000" w:sz="4" w:space="0"/>
              <w:right w:val="single" w:color="000000" w:sz="4" w:space="0"/>
            </w:tcBorders>
            <w:noWrap w:val="0"/>
            <w:vAlign w:val="center"/>
          </w:tcPr>
          <w:p w14:paraId="15EE706C">
            <w:pPr>
              <w:widowControl/>
              <w:adjustRightInd w:val="0"/>
              <w:snapToGrid w:val="0"/>
              <w:spacing w:line="240" w:lineRule="auto"/>
              <w:ind w:firstLine="0" w:firstLineChars="0"/>
              <w:jc w:val="center"/>
              <w:textAlignment w:val="center"/>
              <w:rPr>
                <w:rFonts w:ascii="Times New Roman" w:hAnsi="Times New Roman" w:eastAsia="方正仿宋_GBK" w:cs="Times New Roman"/>
                <w:b/>
                <w:bCs/>
                <w:color w:val="000000"/>
                <w:kern w:val="0"/>
                <w:sz w:val="24"/>
                <w:szCs w:val="24"/>
                <w:lang w:bidi="ar"/>
              </w:rPr>
            </w:pPr>
            <w:r>
              <w:rPr>
                <w:rFonts w:ascii="Times New Roman" w:hAnsi="Times New Roman" w:eastAsia="方正仿宋_GBK" w:cs="Times New Roman"/>
                <w:b/>
                <w:bCs/>
                <w:color w:val="000000"/>
                <w:kern w:val="0"/>
                <w:sz w:val="24"/>
                <w:szCs w:val="24"/>
                <w:lang w:bidi="ar"/>
              </w:rPr>
              <w:t>街镇名称</w:t>
            </w:r>
          </w:p>
        </w:tc>
        <w:tc>
          <w:tcPr>
            <w:tcW w:w="1131" w:type="pct"/>
            <w:tcBorders>
              <w:top w:val="single" w:color="000000" w:sz="4" w:space="0"/>
              <w:left w:val="single" w:color="000000" w:sz="4" w:space="0"/>
              <w:bottom w:val="single" w:color="000000" w:sz="4" w:space="0"/>
              <w:right w:val="single" w:color="000000" w:sz="4" w:space="0"/>
            </w:tcBorders>
            <w:noWrap w:val="0"/>
            <w:vAlign w:val="center"/>
          </w:tcPr>
          <w:p w14:paraId="2248E55D">
            <w:pPr>
              <w:widowControl/>
              <w:adjustRightInd w:val="0"/>
              <w:snapToGrid w:val="0"/>
              <w:spacing w:line="240" w:lineRule="auto"/>
              <w:ind w:firstLine="0" w:firstLineChars="0"/>
              <w:jc w:val="center"/>
              <w:textAlignment w:val="center"/>
              <w:rPr>
                <w:rFonts w:ascii="Times New Roman" w:hAnsi="Times New Roman" w:eastAsia="方正仿宋_GBK" w:cs="Times New Roman"/>
                <w:b/>
                <w:bCs/>
                <w:color w:val="000000"/>
                <w:kern w:val="0"/>
                <w:sz w:val="24"/>
                <w:szCs w:val="24"/>
                <w:lang w:bidi="ar"/>
              </w:rPr>
            </w:pPr>
            <w:r>
              <w:rPr>
                <w:rFonts w:ascii="Times New Roman" w:hAnsi="Times New Roman" w:eastAsia="方正仿宋_GBK" w:cs="Times New Roman"/>
                <w:b/>
                <w:bCs/>
                <w:color w:val="000000"/>
                <w:kern w:val="0"/>
                <w:sz w:val="24"/>
                <w:szCs w:val="24"/>
                <w:lang w:bidi="ar"/>
              </w:rPr>
              <w:t>街镇面积（km²）</w:t>
            </w:r>
          </w:p>
        </w:tc>
        <w:tc>
          <w:tcPr>
            <w:tcW w:w="976" w:type="pct"/>
            <w:tcBorders>
              <w:top w:val="single" w:color="000000" w:sz="4" w:space="0"/>
              <w:left w:val="single" w:color="000000" w:sz="4" w:space="0"/>
              <w:bottom w:val="single" w:color="000000" w:sz="4" w:space="0"/>
              <w:right w:val="single" w:color="000000" w:sz="4" w:space="0"/>
            </w:tcBorders>
            <w:noWrap w:val="0"/>
            <w:vAlign w:val="center"/>
          </w:tcPr>
          <w:p w14:paraId="6691348D">
            <w:pPr>
              <w:widowControl/>
              <w:adjustRightInd w:val="0"/>
              <w:snapToGrid w:val="0"/>
              <w:spacing w:line="240" w:lineRule="auto"/>
              <w:ind w:firstLine="0" w:firstLineChars="0"/>
              <w:jc w:val="center"/>
              <w:textAlignment w:val="center"/>
              <w:rPr>
                <w:rFonts w:ascii="Times New Roman" w:hAnsi="Times New Roman" w:eastAsia="方正仿宋_GBK" w:cs="Times New Roman"/>
                <w:b/>
                <w:bCs/>
                <w:color w:val="000000"/>
                <w:kern w:val="0"/>
                <w:sz w:val="24"/>
                <w:szCs w:val="24"/>
                <w:lang w:bidi="ar"/>
              </w:rPr>
            </w:pPr>
            <w:r>
              <w:rPr>
                <w:rFonts w:ascii="Times New Roman" w:hAnsi="Times New Roman" w:eastAsia="方正仿宋_GBK" w:cs="Times New Roman"/>
                <w:b/>
                <w:bCs/>
                <w:color w:val="000000"/>
                <w:kern w:val="0"/>
                <w:sz w:val="24"/>
                <w:szCs w:val="24"/>
                <w:lang w:bidi="ar"/>
              </w:rPr>
              <w:t>禁止开垦陡坡地图斑个数</w:t>
            </w:r>
          </w:p>
        </w:tc>
        <w:tc>
          <w:tcPr>
            <w:tcW w:w="938" w:type="pct"/>
            <w:tcBorders>
              <w:top w:val="single" w:color="000000" w:sz="4" w:space="0"/>
              <w:left w:val="single" w:color="000000" w:sz="4" w:space="0"/>
              <w:bottom w:val="single" w:color="000000" w:sz="4" w:space="0"/>
              <w:right w:val="single" w:color="000000" w:sz="4" w:space="0"/>
            </w:tcBorders>
            <w:noWrap w:val="0"/>
            <w:vAlign w:val="center"/>
          </w:tcPr>
          <w:p w14:paraId="33D6AE1F">
            <w:pPr>
              <w:widowControl/>
              <w:adjustRightInd w:val="0"/>
              <w:snapToGrid w:val="0"/>
              <w:spacing w:line="240" w:lineRule="auto"/>
              <w:ind w:firstLine="0" w:firstLineChars="0"/>
              <w:jc w:val="center"/>
              <w:textAlignment w:val="center"/>
              <w:rPr>
                <w:rFonts w:ascii="Times New Roman" w:hAnsi="Times New Roman" w:eastAsia="方正仿宋_GBK" w:cs="Times New Roman"/>
                <w:b/>
                <w:bCs/>
                <w:color w:val="000000"/>
                <w:kern w:val="0"/>
                <w:sz w:val="24"/>
                <w:szCs w:val="24"/>
                <w:lang w:bidi="ar"/>
              </w:rPr>
            </w:pPr>
            <w:r>
              <w:rPr>
                <w:rFonts w:ascii="Times New Roman" w:hAnsi="Times New Roman" w:eastAsia="方正仿宋_GBK" w:cs="Times New Roman"/>
                <w:b/>
                <w:bCs/>
                <w:color w:val="000000"/>
                <w:kern w:val="0"/>
                <w:sz w:val="24"/>
                <w:szCs w:val="24"/>
                <w:lang w:bidi="ar"/>
              </w:rPr>
              <w:t>禁止开垦陡坡地面积（km</w:t>
            </w:r>
            <w:r>
              <w:rPr>
                <w:rFonts w:ascii="Times New Roman" w:hAnsi="Times New Roman" w:eastAsia="方正仿宋_GBK" w:cs="Times New Roman"/>
                <w:b/>
                <w:bCs/>
                <w:color w:val="000000"/>
                <w:kern w:val="0"/>
                <w:sz w:val="24"/>
                <w:szCs w:val="24"/>
                <w:vertAlign w:val="superscript"/>
                <w:lang w:bidi="ar"/>
              </w:rPr>
              <w:t>2</w:t>
            </w:r>
            <w:r>
              <w:rPr>
                <w:rFonts w:ascii="Times New Roman" w:hAnsi="Times New Roman" w:eastAsia="方正仿宋_GBK" w:cs="Times New Roman"/>
                <w:b/>
                <w:bCs/>
                <w:color w:val="000000"/>
                <w:kern w:val="0"/>
                <w:sz w:val="24"/>
                <w:szCs w:val="24"/>
                <w:lang w:bidi="ar"/>
              </w:rPr>
              <w:t>）</w:t>
            </w:r>
          </w:p>
        </w:tc>
        <w:tc>
          <w:tcPr>
            <w:tcW w:w="977" w:type="pct"/>
            <w:tcBorders>
              <w:top w:val="single" w:color="000000" w:sz="4" w:space="0"/>
              <w:left w:val="single" w:color="000000" w:sz="4" w:space="0"/>
              <w:bottom w:val="single" w:color="000000" w:sz="4" w:space="0"/>
              <w:right w:val="single" w:color="000000" w:sz="4" w:space="0"/>
            </w:tcBorders>
            <w:noWrap w:val="0"/>
            <w:vAlign w:val="center"/>
          </w:tcPr>
          <w:p w14:paraId="2C0D7D2F">
            <w:pPr>
              <w:widowControl/>
              <w:adjustRightInd w:val="0"/>
              <w:snapToGrid w:val="0"/>
              <w:spacing w:line="240" w:lineRule="auto"/>
              <w:ind w:firstLine="0" w:firstLineChars="0"/>
              <w:jc w:val="center"/>
              <w:textAlignment w:val="center"/>
              <w:rPr>
                <w:rFonts w:ascii="Times New Roman" w:hAnsi="Times New Roman" w:eastAsia="方正仿宋_GBK" w:cs="Times New Roman"/>
                <w:b/>
                <w:bCs/>
                <w:color w:val="000000"/>
                <w:kern w:val="0"/>
                <w:sz w:val="24"/>
                <w:szCs w:val="24"/>
                <w:lang w:bidi="ar"/>
              </w:rPr>
            </w:pPr>
            <w:r>
              <w:rPr>
                <w:rFonts w:ascii="Times New Roman" w:hAnsi="Times New Roman" w:eastAsia="方正仿宋_GBK" w:cs="Times New Roman"/>
                <w:b/>
                <w:bCs/>
                <w:color w:val="000000"/>
                <w:kern w:val="0"/>
                <w:sz w:val="24"/>
                <w:szCs w:val="24"/>
                <w:lang w:bidi="ar"/>
              </w:rPr>
              <w:t>禁止开垦陡坡地占街镇面积比例（%）</w:t>
            </w:r>
          </w:p>
        </w:tc>
      </w:tr>
      <w:tr w14:paraId="63CA6CE5">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63C5C0B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八颗街道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68015263">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102.91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744A8E6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55</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467EC3C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16.47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4EC5D5B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16.00 </w:t>
            </w:r>
          </w:p>
        </w:tc>
      </w:tr>
      <w:tr w14:paraId="2F639D58">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622BED7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但渡镇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2929052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51.63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0E79DF2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36</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219E9D3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5.76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2782A4B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11.16 </w:t>
            </w:r>
          </w:p>
        </w:tc>
      </w:tr>
      <w:tr w14:paraId="421933EF">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3FD8AF9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渡舟街道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408AF6B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52.65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33F5797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2</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2C40417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0.15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19DA489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0.28 </w:t>
            </w:r>
          </w:p>
        </w:tc>
      </w:tr>
      <w:tr w14:paraId="7B508ECC">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656C1020">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凤城街道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54BD99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55.85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3BBC5DB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15</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20E3D36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2.67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36EC906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4.79 </w:t>
            </w:r>
          </w:p>
        </w:tc>
      </w:tr>
      <w:tr w14:paraId="20162924">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52F7276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葛兰镇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7B69221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114.84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060A436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43</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593FA6B3">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11.78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13C6419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10.26 </w:t>
            </w:r>
          </w:p>
        </w:tc>
      </w:tr>
      <w:tr w14:paraId="1EF336F9">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76F2512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海棠镇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0F0C4A3">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46.79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2652757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19</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6D023FC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6.69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73ADC60">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14.30 </w:t>
            </w:r>
          </w:p>
        </w:tc>
      </w:tr>
      <w:tr w14:paraId="58E78080">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34D20E15">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洪湖镇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B05797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98.61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79885A35">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66</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491AF0A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20.67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B3D069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20.96 </w:t>
            </w:r>
          </w:p>
        </w:tc>
      </w:tr>
      <w:tr w14:paraId="6C9913C1">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07F6DF6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江南街道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2620699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67.01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1895FF5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22</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69342DC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8.37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68E1710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12.49 </w:t>
            </w:r>
          </w:p>
        </w:tc>
      </w:tr>
      <w:tr w14:paraId="156E9447">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03482930">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邻封镇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505FBDF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59.74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3C0479B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6</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469BD2A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0.43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511896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0.73 </w:t>
            </w:r>
          </w:p>
        </w:tc>
      </w:tr>
      <w:tr w14:paraId="594CBBC3">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2DE4C30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龙河镇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1BD2D10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90.66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7FA4DE00">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7</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3F9DCA5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0.52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4327C3C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0.57 </w:t>
            </w:r>
          </w:p>
        </w:tc>
      </w:tr>
      <w:tr w14:paraId="380978F1">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3BF6212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菩提街道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4F0252E9">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30.29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475D21A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02B25E9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0.06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76C0E52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0.20 </w:t>
            </w:r>
          </w:p>
        </w:tc>
      </w:tr>
      <w:tr w14:paraId="6D9273CC">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3C12AA69">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石堰镇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6F8AA24D">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109.66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403C98A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28</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123C06A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5.94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B242F1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5.41 </w:t>
            </w:r>
          </w:p>
        </w:tc>
      </w:tr>
      <w:tr w14:paraId="5BDAF08C">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36AF832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双龙镇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F2EEA5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53.46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3432D83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4</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7D429F3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0.27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AFF34B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0.50 </w:t>
            </w:r>
          </w:p>
        </w:tc>
      </w:tr>
      <w:tr w14:paraId="19EFE03B">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20FC0556">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万顺镇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1F347DBB">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54.71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51B658A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11</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72B3638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2.59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3E291761">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4.73 </w:t>
            </w:r>
          </w:p>
        </w:tc>
      </w:tr>
      <w:tr w14:paraId="21F6768C">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530A7FD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新市街道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7DEB8C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36.60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6597A5A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3E8C0720">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0.11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24416AC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0.30 </w:t>
            </w:r>
          </w:p>
        </w:tc>
      </w:tr>
      <w:tr w14:paraId="79D78C0A">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7B570152">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晏家街道</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65C5736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90.34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451C89E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27</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1F104AB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7.29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2E35CB8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8.07 </w:t>
            </w:r>
          </w:p>
        </w:tc>
      </w:tr>
      <w:tr w14:paraId="28783ACC">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02CDB41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云集镇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726DB74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104.51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46D4CFC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43</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35072CF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10.85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0394517A">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10.38 </w:t>
            </w:r>
          </w:p>
        </w:tc>
      </w:tr>
      <w:tr w14:paraId="52EEE274">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4953C72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云台镇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3FBB1FC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84.52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231F3AD3">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18</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219ED915">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4.79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1BD5917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5.67 </w:t>
            </w:r>
          </w:p>
        </w:tc>
      </w:tr>
      <w:tr w14:paraId="5EF51C46">
        <w:tblPrEx>
          <w:tblCellMar>
            <w:top w:w="0" w:type="dxa"/>
            <w:left w:w="108" w:type="dxa"/>
            <w:bottom w:w="0" w:type="dxa"/>
            <w:right w:w="108" w:type="dxa"/>
          </w:tblCellMar>
        </w:tblPrEx>
        <w:trPr>
          <w:trHeight w:val="448"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616BCCDE">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长寿湖镇</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7C11E1D4">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116.92 </w:t>
            </w:r>
          </w:p>
        </w:tc>
        <w:tc>
          <w:tcPr>
            <w:tcW w:w="976" w:type="pct"/>
            <w:tcBorders>
              <w:top w:val="single" w:color="000000" w:sz="4" w:space="0"/>
              <w:left w:val="single" w:color="000000" w:sz="4" w:space="0"/>
              <w:bottom w:val="single" w:color="000000" w:sz="4" w:space="0"/>
              <w:right w:val="single" w:color="000000" w:sz="4" w:space="0"/>
            </w:tcBorders>
            <w:noWrap/>
            <w:vAlign w:val="bottom"/>
          </w:tcPr>
          <w:p w14:paraId="6B3C2B03">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22</w:t>
            </w:r>
          </w:p>
        </w:tc>
        <w:tc>
          <w:tcPr>
            <w:tcW w:w="938" w:type="pct"/>
            <w:tcBorders>
              <w:top w:val="single" w:color="000000" w:sz="4" w:space="0"/>
              <w:left w:val="single" w:color="000000" w:sz="4" w:space="0"/>
              <w:bottom w:val="single" w:color="000000" w:sz="4" w:space="0"/>
              <w:right w:val="single" w:color="000000" w:sz="4" w:space="0"/>
            </w:tcBorders>
            <w:noWrap/>
            <w:vAlign w:val="bottom"/>
          </w:tcPr>
          <w:p w14:paraId="7BF99D15">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3.43 </w:t>
            </w:r>
          </w:p>
        </w:tc>
        <w:tc>
          <w:tcPr>
            <w:tcW w:w="977" w:type="pct"/>
            <w:tcBorders>
              <w:top w:val="single" w:color="000000" w:sz="4" w:space="0"/>
              <w:left w:val="single" w:color="000000" w:sz="4" w:space="0"/>
              <w:bottom w:val="single" w:color="000000" w:sz="4" w:space="0"/>
              <w:right w:val="single" w:color="000000" w:sz="4" w:space="0"/>
            </w:tcBorders>
            <w:noWrap/>
            <w:vAlign w:val="bottom"/>
          </w:tcPr>
          <w:p w14:paraId="42E49BD8">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2.94 </w:t>
            </w:r>
          </w:p>
        </w:tc>
      </w:tr>
      <w:tr w14:paraId="5A8347AF">
        <w:tblPrEx>
          <w:tblCellMar>
            <w:top w:w="0" w:type="dxa"/>
            <w:left w:w="108" w:type="dxa"/>
            <w:bottom w:w="0" w:type="dxa"/>
            <w:right w:w="108" w:type="dxa"/>
          </w:tblCellMar>
        </w:tblPrEx>
        <w:trPr>
          <w:trHeight w:val="460" w:hRule="atLeast"/>
        </w:trPr>
        <w:tc>
          <w:tcPr>
            <w:tcW w:w="976" w:type="pct"/>
            <w:tcBorders>
              <w:top w:val="single" w:color="000000" w:sz="4" w:space="0"/>
              <w:left w:val="single" w:color="000000" w:sz="4" w:space="0"/>
              <w:bottom w:val="single" w:color="000000" w:sz="4" w:space="0"/>
              <w:right w:val="single" w:color="000000" w:sz="4" w:space="0"/>
            </w:tcBorders>
            <w:noWrap/>
            <w:vAlign w:val="center"/>
          </w:tcPr>
          <w:p w14:paraId="750B3B1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总计</w:t>
            </w:r>
          </w:p>
        </w:tc>
        <w:tc>
          <w:tcPr>
            <w:tcW w:w="1131" w:type="pct"/>
            <w:tcBorders>
              <w:top w:val="single" w:color="000000" w:sz="4" w:space="0"/>
              <w:left w:val="single" w:color="000000" w:sz="4" w:space="0"/>
              <w:bottom w:val="single" w:color="000000" w:sz="4" w:space="0"/>
              <w:right w:val="single" w:color="000000" w:sz="4" w:space="0"/>
            </w:tcBorders>
            <w:noWrap/>
            <w:vAlign w:val="center"/>
          </w:tcPr>
          <w:p w14:paraId="03ECDF6C">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 xml:space="preserve">1421.69 </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65A386F">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426</w:t>
            </w:r>
          </w:p>
        </w:tc>
        <w:tc>
          <w:tcPr>
            <w:tcW w:w="938" w:type="pct"/>
            <w:tcBorders>
              <w:top w:val="single" w:color="000000" w:sz="4" w:space="0"/>
              <w:left w:val="single" w:color="000000" w:sz="4" w:space="0"/>
              <w:bottom w:val="single" w:color="000000" w:sz="4" w:space="0"/>
              <w:right w:val="single" w:color="000000" w:sz="4" w:space="0"/>
            </w:tcBorders>
            <w:noWrap/>
            <w:vAlign w:val="center"/>
          </w:tcPr>
          <w:p w14:paraId="0DB1A466">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108.84</w:t>
            </w:r>
          </w:p>
        </w:tc>
        <w:tc>
          <w:tcPr>
            <w:tcW w:w="977" w:type="pct"/>
            <w:tcBorders>
              <w:top w:val="single" w:color="000000" w:sz="4" w:space="0"/>
              <w:left w:val="single" w:color="000000" w:sz="4" w:space="0"/>
              <w:bottom w:val="single" w:color="000000" w:sz="4" w:space="0"/>
              <w:right w:val="single" w:color="000000" w:sz="4" w:space="0"/>
            </w:tcBorders>
            <w:noWrap/>
            <w:vAlign w:val="center"/>
          </w:tcPr>
          <w:p w14:paraId="771D5BF7">
            <w:pPr>
              <w:widowControl/>
              <w:adjustRightInd w:val="0"/>
              <w:snapToGrid w:val="0"/>
              <w:spacing w:line="240" w:lineRule="auto"/>
              <w:ind w:firstLine="0" w:firstLineChars="0"/>
              <w:jc w:val="center"/>
              <w:textAlignment w:val="center"/>
              <w:rPr>
                <w:rFonts w:ascii="Times New Roman" w:hAnsi="Times New Roman" w:eastAsia="方正仿宋_GBK" w:cs="Times New Roman"/>
                <w:color w:val="000000"/>
                <w:kern w:val="0"/>
                <w:sz w:val="24"/>
                <w:szCs w:val="24"/>
                <w:lang w:bidi="ar"/>
              </w:rPr>
            </w:pPr>
            <w:r>
              <w:rPr>
                <w:rFonts w:ascii="Times New Roman" w:hAnsi="Times New Roman" w:eastAsia="方正仿宋_GBK" w:cs="Times New Roman"/>
                <w:color w:val="000000"/>
                <w:kern w:val="0"/>
                <w:sz w:val="24"/>
                <w:szCs w:val="24"/>
                <w:lang w:bidi="ar"/>
              </w:rPr>
              <w:t>7.66</w:t>
            </w:r>
          </w:p>
        </w:tc>
      </w:tr>
    </w:tbl>
    <w:p w14:paraId="589D58F9">
      <w:pPr>
        <w:keepNext w:val="0"/>
        <w:keepLines w:val="0"/>
        <w:pageBreakBefore w:val="0"/>
        <w:widowControl w:val="0"/>
        <w:kinsoku/>
        <w:wordWrap/>
        <w:overflowPunct/>
        <w:topLinePunct w:val="0"/>
        <w:autoSpaceDE/>
        <w:autoSpaceDN/>
        <w:bidi w:val="0"/>
        <w:adjustRightInd/>
        <w:snapToGrid/>
        <w:spacing w:after="0" w:line="596" w:lineRule="exact"/>
        <w:ind w:firstLine="0" w:firstLineChars="0"/>
        <w:jc w:val="both"/>
        <w:textAlignment w:val="auto"/>
        <w:outlineLvl w:val="0"/>
        <w:rPr>
          <w:rFonts w:hint="eastAsia" w:ascii="方正黑体_GBK" w:hAnsi="方正黑体_GBK" w:eastAsia="方正黑体_GBK" w:cs="方正黑体_GBK"/>
          <w:kern w:val="2"/>
          <w:sz w:val="32"/>
          <w:szCs w:val="32"/>
          <w:lang w:val="en-US" w:eastAsia="zh-CN" w:bidi="ar-SA"/>
        </w:rPr>
      </w:pPr>
      <w:r>
        <w:rPr>
          <w:rFonts w:hint="eastAsia" w:ascii="方正黑体_GBK" w:hAnsi="方正黑体_GBK" w:eastAsia="方正黑体_GBK" w:cs="方正黑体_GBK"/>
          <w:kern w:val="2"/>
          <w:sz w:val="32"/>
          <w:szCs w:val="32"/>
          <w:lang w:val="en-US" w:eastAsia="zh-CN" w:bidi="ar-SA"/>
        </w:rPr>
        <w:t>附件2</w:t>
      </w:r>
    </w:p>
    <w:p w14:paraId="59CB53F8">
      <w:pPr>
        <w:keepNext w:val="0"/>
        <w:keepLines w:val="0"/>
        <w:pageBreakBefore w:val="0"/>
        <w:kinsoku/>
        <w:wordWrap/>
        <w:overflowPunct/>
        <w:topLinePunct w:val="0"/>
        <w:autoSpaceDE/>
        <w:autoSpaceDN/>
        <w:bidi w:val="0"/>
        <w:adjustRightInd/>
        <w:snapToGrid/>
        <w:spacing w:beforeAutospacing="0" w:afterAutospacing="0"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p>
    <w:p w14:paraId="2BEAE8EC">
      <w:pPr>
        <w:keepNext w:val="0"/>
        <w:keepLines w:val="0"/>
        <w:pageBreakBefore w:val="0"/>
        <w:kinsoku/>
        <w:wordWrap/>
        <w:overflowPunct/>
        <w:topLinePunct w:val="0"/>
        <w:autoSpaceDE/>
        <w:autoSpaceDN/>
        <w:bidi w:val="0"/>
        <w:adjustRightInd/>
        <w:snapToGrid/>
        <w:spacing w:beforeAutospacing="0" w:afterAutospacing="0"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长寿区禁止开垦陡坡地划定成果分布示意图</w:t>
      </w:r>
    </w:p>
    <w:p w14:paraId="220EB55E">
      <w:pPr>
        <w:keepNext w:val="0"/>
        <w:keepLines w:val="0"/>
        <w:pageBreakBefore w:val="0"/>
        <w:kinsoku/>
        <w:wordWrap/>
        <w:overflowPunct/>
        <w:topLinePunct w:val="0"/>
        <w:autoSpaceDE/>
        <w:autoSpaceDN/>
        <w:bidi w:val="0"/>
        <w:adjustRightInd/>
        <w:snapToGrid/>
        <w:spacing w:beforeAutospacing="0" w:afterAutospacing="0" w:line="580" w:lineRule="exact"/>
        <w:ind w:firstLine="0" w:firstLineChars="0"/>
        <w:jc w:val="center"/>
        <w:textAlignment w:val="auto"/>
        <w:outlineLvl w:val="0"/>
        <w:rPr>
          <w:rFonts w:hint="eastAsia" w:ascii="方正小标宋_GBK" w:hAnsi="方正小标宋_GBK" w:eastAsia="方正小标宋_GBK" w:cs="方正小标宋_GBK"/>
          <w:sz w:val="44"/>
          <w:szCs w:val="44"/>
        </w:rPr>
      </w:pPr>
    </w:p>
    <w:p w14:paraId="6E815D84">
      <w:pPr>
        <w:keepNext w:val="0"/>
        <w:keepLines w:val="0"/>
        <w:pageBreakBefore w:val="0"/>
        <w:widowControl w:val="0"/>
        <w:kinsoku/>
        <w:wordWrap/>
        <w:overflowPunct/>
        <w:topLinePunct w:val="0"/>
        <w:autoSpaceDE/>
        <w:autoSpaceDN/>
        <w:bidi w:val="0"/>
        <w:adjustRightInd/>
        <w:snapToGrid/>
        <w:spacing w:line="760" w:lineRule="exact"/>
        <w:ind w:firstLine="0" w:firstLineChars="0"/>
        <w:jc w:val="both"/>
        <w:textAlignment w:val="auto"/>
        <w:rPr>
          <w:rFonts w:ascii="Times New Roman" w:hAnsi="Times New Roman" w:eastAsia="方正仿宋_GBK" w:cs="Times New Roman"/>
          <w:sz w:val="32"/>
          <w:szCs w:val="20"/>
        </w:rPr>
      </w:pPr>
      <w:r>
        <w:rPr>
          <w:rFonts w:hint="eastAsia" w:ascii="方正黑体_GBK" w:hAnsi="Times New Roman" w:eastAsia="方正黑体_GBK" w:cs="Times New Roman"/>
          <w:color w:val="000000"/>
          <w:kern w:val="0"/>
          <w:sz w:val="32"/>
          <w:szCs w:val="32"/>
        </w:rPr>
        <w:drawing>
          <wp:anchor distT="0" distB="0" distL="114300" distR="114300" simplePos="0" relativeHeight="251659264" behindDoc="0" locked="0" layoutInCell="1" allowOverlap="1">
            <wp:simplePos x="0" y="0"/>
            <wp:positionH relativeFrom="column">
              <wp:posOffset>90805</wp:posOffset>
            </wp:positionH>
            <wp:positionV relativeFrom="paragraph">
              <wp:posOffset>88265</wp:posOffset>
            </wp:positionV>
            <wp:extent cx="5457190" cy="5238115"/>
            <wp:effectExtent l="0" t="0" r="10160" b="635"/>
            <wp:wrapTopAndBottom/>
            <wp:docPr id="4" name="图片 3" descr="99e4dab3b62858b06a6504383942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99e4dab3b62858b06a65043839429352"/>
                    <pic:cNvPicPr>
                      <a:picLocks noChangeAspect="1"/>
                    </pic:cNvPicPr>
                  </pic:nvPicPr>
                  <pic:blipFill>
                    <a:blip r:embed="rId6"/>
                    <a:srcRect t="4015"/>
                    <a:stretch>
                      <a:fillRect/>
                    </a:stretch>
                  </pic:blipFill>
                  <pic:spPr>
                    <a:xfrm>
                      <a:off x="0" y="0"/>
                      <a:ext cx="5457190" cy="5238115"/>
                    </a:xfrm>
                    <a:prstGeom prst="rect">
                      <a:avLst/>
                    </a:prstGeom>
                    <a:noFill/>
                    <a:ln>
                      <a:noFill/>
                    </a:ln>
                  </pic:spPr>
                </pic:pic>
              </a:graphicData>
            </a:graphic>
          </wp:anchor>
        </w:drawing>
      </w:r>
    </w:p>
    <w:p w14:paraId="48314C2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40" w:lineRule="exact"/>
        <w:ind w:right="0" w:firstLine="640" w:firstLineChars="200"/>
        <w:textAlignment w:val="auto"/>
        <w:rPr>
          <w:rFonts w:hint="eastAsia" w:ascii="Cambria" w:hAnsi="Cambria" w:eastAsia="方正仿宋_GBK" w:cs="Times New Roman"/>
          <w:sz w:val="32"/>
          <w:szCs w:val="20"/>
          <w:lang w:val="en-US" w:eastAsia="zh-CN"/>
        </w:rPr>
      </w:pP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小标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Noto Music">
    <w:panose1 w:val="020B0502040504020204"/>
    <w:charset w:val="00"/>
    <w:family w:val="auto"/>
    <w:pitch w:val="default"/>
    <w:sig w:usb0="00000003" w:usb1="02006000" w:usb2="01000000" w:usb3="00000000" w:csb0="0000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D76B">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A31B0">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C8A31B0">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088F7425">
    <w:pPr>
      <w:pStyle w:val="9"/>
      <w:ind w:left="4788" w:leftChars="2280" w:firstLine="6400" w:firstLineChars="2000"/>
      <w:rPr>
        <w:sz w:val="32"/>
      </w:rPr>
    </w:pPr>
    <w:r>
      <w:rPr>
        <w:color w:val="FAFAFA"/>
        <w:sz w:val="32"/>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146050</wp:posOffset>
              </wp:positionV>
              <wp:extent cx="5572125" cy="9525"/>
              <wp:effectExtent l="0" t="0" r="0" b="0"/>
              <wp:wrapNone/>
              <wp:docPr id="11" name="直接连接符 11"/>
              <wp:cNvGraphicFramePr/>
              <a:graphic xmlns:a="http://schemas.openxmlformats.org/drawingml/2006/main">
                <a:graphicData uri="http://schemas.microsoft.com/office/word/2010/wordprocessingShape">
                  <wps:wsp>
                    <wps:cNvCnPr/>
                    <wps:spPr>
                      <a:xfrm flipV="1">
                        <a:off x="0" y="0"/>
                        <a:ext cx="5572125" cy="95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pt;margin-top:11.5pt;height:0.75pt;width:438.75pt;z-index:251662336;mso-width-relative:page;mso-height-relative:page;" filled="f" stroked="t" coordsize="21600,21600" o:gfxdata="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vLWsfYAAAABwEAAA8AAAAAAAAAAQAgAAAAIgAAAGRycy9kb3ducmV2LnhtbFBLAQIUABQA&#10;AAAIAIdO4kDFTOSL8AEAAMEDAAAOAAAAAAAAAAEAIAAAACcBAABkcnMvZTJvRG9jLnhtbFBLBQYA&#10;AAAABgAGAFkBAACJBQAAAAA=&#10;">
              <v:fill on="f" focussize="0,0"/>
              <v:stroke weight="1.75pt" color="#005192 [3204]" miterlimit="8" joinstyle="miter"/>
              <v:imagedata o:title=""/>
              <o:lock v:ext="edit" aspectratio="f"/>
            </v:line>
          </w:pict>
        </mc:Fallback>
      </mc:AlternateContent>
    </w:r>
  </w:p>
  <w:p w14:paraId="7BF269BC">
    <w:pPr>
      <w:pStyle w:val="9"/>
      <w:wordWrap w:val="0"/>
      <w:jc w:val="right"/>
      <w:rPr>
        <w:rFonts w:hint="default"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重庆市长寿区人民政府办公室发布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29347">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9" name="图片 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重庆市长寿区人民政府行政</w:t>
    </w:r>
    <w:r>
      <w:rPr>
        <w:rFonts w:hint="eastAsia" w:ascii="宋体" w:hAnsi="宋体" w:eastAsia="宋体" w:cs="宋体"/>
        <w:b/>
        <w:bCs/>
        <w:color w:val="005192"/>
        <w:sz w:val="32"/>
        <w:szCs w:val="32"/>
        <w:lang w:val="en-US" w:eastAsia="zh-Hans"/>
      </w:rPr>
      <w:t>规范性文件</w:t>
    </w:r>
  </w:p>
  <w:p w14:paraId="3A21F898">
    <w:pPr>
      <w:pStyle w:val="9"/>
      <w:rPr>
        <w:rFonts w:hint="eastAsia"/>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124460</wp:posOffset>
              </wp:positionV>
              <wp:extent cx="5486400" cy="19050"/>
              <wp:effectExtent l="0" t="0" r="0" b="0"/>
              <wp:wrapNone/>
              <wp:docPr id="2" name="直接连接符 2"/>
              <wp:cNvGraphicFramePr/>
              <a:graphic xmlns:a="http://schemas.openxmlformats.org/drawingml/2006/main">
                <a:graphicData uri="http://schemas.microsoft.com/office/word/2010/wordprocessingShape">
                  <wps:wsp>
                    <wps:cNvCnPr/>
                    <wps:spPr>
                      <a:xfrm flipV="1">
                        <a:off x="4133850" y="864870"/>
                        <a:ext cx="5486400" cy="1905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05pt;margin-top:9.8pt;height:1.5pt;width:432pt;z-index:251661312;mso-width-relative:page;mso-height-relative:page;" filled="f" stroked="t" coordsize="21600,21600" o:gfxdata="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e+hydYAAAAHAQAADwAAAAAAAAABACAAAAAiAAAAZHJzL2Rvd25yZXYu&#10;eG1sUEsBAhQAFAAAAAgAh07iQOpOw8v9AQAAywMAAA4AAAAAAAAAAQAgAAAAJQEAAGRycy9lMm9E&#10;b2MueG1sUEsFBgAAAAAGAAYAWQEAAJQFAAAAAA==&#10;">
              <v:fill on="f" focussize="0,0"/>
              <v:stroke weight="1.75pt" color="#005192 [3204]"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yODExMDVjNjNlMjJjODEyOTk5ZmNlZDNlNzRkMjgifQ=="/>
  </w:docVars>
  <w:rsids>
    <w:rsidRoot w:val="00172A27"/>
    <w:rsid w:val="019E71BD"/>
    <w:rsid w:val="041C42DA"/>
    <w:rsid w:val="04B679C3"/>
    <w:rsid w:val="05F07036"/>
    <w:rsid w:val="062E6483"/>
    <w:rsid w:val="06445D03"/>
    <w:rsid w:val="06E00104"/>
    <w:rsid w:val="080F63D8"/>
    <w:rsid w:val="09341458"/>
    <w:rsid w:val="098254C2"/>
    <w:rsid w:val="0A766EDE"/>
    <w:rsid w:val="0AD64BE8"/>
    <w:rsid w:val="0B0912D7"/>
    <w:rsid w:val="0E025194"/>
    <w:rsid w:val="152D2DCA"/>
    <w:rsid w:val="187168EA"/>
    <w:rsid w:val="196673CA"/>
    <w:rsid w:val="1A6D1382"/>
    <w:rsid w:val="1B2F4AEE"/>
    <w:rsid w:val="1CF734C9"/>
    <w:rsid w:val="1DEC284C"/>
    <w:rsid w:val="1E6523AC"/>
    <w:rsid w:val="22440422"/>
    <w:rsid w:val="22BB4BBB"/>
    <w:rsid w:val="24D14D93"/>
    <w:rsid w:val="2AEB3417"/>
    <w:rsid w:val="31A15F24"/>
    <w:rsid w:val="324A1681"/>
    <w:rsid w:val="36FB1DF0"/>
    <w:rsid w:val="395347B5"/>
    <w:rsid w:val="39A232A0"/>
    <w:rsid w:val="39E745AA"/>
    <w:rsid w:val="3B5A6BBB"/>
    <w:rsid w:val="3B7F3B41"/>
    <w:rsid w:val="3EDA13A6"/>
    <w:rsid w:val="417B75E9"/>
    <w:rsid w:val="42F058B7"/>
    <w:rsid w:val="436109F6"/>
    <w:rsid w:val="441A38D4"/>
    <w:rsid w:val="4504239D"/>
    <w:rsid w:val="46271A29"/>
    <w:rsid w:val="4BC77339"/>
    <w:rsid w:val="4C9236C5"/>
    <w:rsid w:val="4E250A85"/>
    <w:rsid w:val="4FFD4925"/>
    <w:rsid w:val="505C172E"/>
    <w:rsid w:val="506405EA"/>
    <w:rsid w:val="50D21465"/>
    <w:rsid w:val="52F46F0B"/>
    <w:rsid w:val="532B6A10"/>
    <w:rsid w:val="53D8014D"/>
    <w:rsid w:val="55E064E0"/>
    <w:rsid w:val="572C6D10"/>
    <w:rsid w:val="5B8D42E2"/>
    <w:rsid w:val="5DC34279"/>
    <w:rsid w:val="5FCD688E"/>
    <w:rsid w:val="5FF9BDAA"/>
    <w:rsid w:val="608816D1"/>
    <w:rsid w:val="60EF4E7F"/>
    <w:rsid w:val="62857768"/>
    <w:rsid w:val="648B0A32"/>
    <w:rsid w:val="653575C7"/>
    <w:rsid w:val="65A31A8A"/>
    <w:rsid w:val="665233C1"/>
    <w:rsid w:val="69AC0D42"/>
    <w:rsid w:val="6AD9688B"/>
    <w:rsid w:val="6D0E3F22"/>
    <w:rsid w:val="73B13777"/>
    <w:rsid w:val="744E4660"/>
    <w:rsid w:val="753355A2"/>
    <w:rsid w:val="759F1C61"/>
    <w:rsid w:val="769F2DE8"/>
    <w:rsid w:val="76FDEB7C"/>
    <w:rsid w:val="79C65162"/>
    <w:rsid w:val="7C9011D9"/>
    <w:rsid w:val="7DC651C5"/>
    <w:rsid w:val="7F9DA0E8"/>
    <w:rsid w:val="7FCC2834"/>
    <w:rsid w:val="7FF6A4EF"/>
    <w:rsid w:val="92DD1CEF"/>
    <w:rsid w:val="AF0B7F2D"/>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pacing w:line="240" w:lineRule="auto"/>
      <w:ind w:firstLine="420" w:firstLineChars="0"/>
    </w:pPr>
    <w:rPr>
      <w:rFonts w:eastAsia="宋体" w:cs="Times New Roman"/>
      <w:sz w:val="21"/>
      <w:szCs w:val="20"/>
    </w:rPr>
  </w:style>
  <w:style w:type="paragraph" w:styleId="5">
    <w:name w:val="annotation text"/>
    <w:basedOn w:val="1"/>
    <w:qFormat/>
    <w:uiPriority w:val="0"/>
    <w:pPr>
      <w:jc w:val="left"/>
    </w:pPr>
  </w:style>
  <w:style w:type="paragraph" w:styleId="6">
    <w:name w:val="Body Text"/>
    <w:basedOn w:val="1"/>
    <w:next w:val="1"/>
    <w:unhideWhenUsed/>
    <w:qFormat/>
    <w:uiPriority w:val="99"/>
    <w:pPr>
      <w:spacing w:after="120"/>
    </w:pPr>
    <w:rPr>
      <w:kern w:val="0"/>
      <w:sz w:val="20"/>
      <w:szCs w:val="24"/>
    </w:rPr>
  </w:style>
  <w:style w:type="paragraph" w:styleId="7">
    <w:name w:val="footer"/>
    <w:basedOn w:val="1"/>
    <w:next w:val="8"/>
    <w:qFormat/>
    <w:uiPriority w:val="0"/>
    <w:pPr>
      <w:tabs>
        <w:tab w:val="center" w:pos="4153"/>
        <w:tab w:val="right" w:pos="8306"/>
      </w:tabs>
      <w:snapToGrid w:val="0"/>
      <w:jc w:val="left"/>
    </w:pPr>
    <w:rPr>
      <w:sz w:val="18"/>
    </w:rPr>
  </w:style>
  <w:style w:type="paragraph" w:customStyle="1" w:styleId="8">
    <w:name w:val="索引 51"/>
    <w:basedOn w:val="1"/>
    <w:next w:val="1"/>
    <w:qFormat/>
    <w:uiPriority w:val="0"/>
    <w:pPr>
      <w:ind w:left="1680"/>
    </w:p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qFormat/>
    <w:uiPriority w:val="0"/>
    <w:pPr>
      <w:spacing w:after="120" w:line="480" w:lineRule="auto"/>
    </w:pPr>
    <w:rPr>
      <w:rFonts w:ascii="Calibri" w:hAnsi="Calibri" w:eastAsia="方正仿宋_GBK" w:cs="Times New Roman"/>
      <w:kern w:val="0"/>
      <w:sz w:val="32"/>
      <w:szCs w:val="32"/>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qFormat/>
    <w:uiPriority w:val="0"/>
    <w:rPr>
      <w:b/>
      <w:bCs/>
    </w:rPr>
  </w:style>
  <w:style w:type="character" w:styleId="15">
    <w:name w:val="page number"/>
    <w:basedOn w:val="13"/>
    <w:uiPriority w:val="0"/>
  </w:style>
  <w:style w:type="paragraph" w:customStyle="1" w:styleId="1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7">
    <w:name w:val="p0"/>
    <w:basedOn w:val="1"/>
    <w:qFormat/>
    <w:uiPriority w:val="0"/>
    <w:pPr>
      <w:widowControl/>
    </w:pPr>
    <w:rPr>
      <w:rFonts w:ascii="Calibri" w:hAnsi="Calibri" w:eastAsia="宋体" w:cs="宋体"/>
      <w:kern w:val="0"/>
      <w:szCs w:val="32"/>
    </w:rPr>
  </w:style>
  <w:style w:type="character" w:customStyle="1" w:styleId="18">
    <w:name w:val="ca-7"/>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356</Words>
  <Characters>370</Characters>
  <Lines>1</Lines>
  <Paragraphs>1</Paragraphs>
  <TotalTime>0</TotalTime>
  <ScaleCrop>false</ScaleCrop>
  <LinksUpToDate>false</LinksUpToDate>
  <CharactersWithSpaces>410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CY</cp:lastModifiedBy>
  <cp:lastPrinted>2022-05-12T00:46:00Z</cp:lastPrinted>
  <dcterms:modified xsi:type="dcterms:W3CDTF">2025-07-18T15:32:56Z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48C61CB29D3F4D9384F5922CF0F7FFB4</vt:lpwstr>
  </property>
  <property fmtid="{D5CDD505-2E9C-101B-9397-08002B2CF9AE}" pid="4" name="KSOTemplateDocerSaveRecord">
    <vt:lpwstr>eyJoZGlkIjoiNDZlNTUwNzY2MzY2YjEyYmZkMzM5NDdhMWFhNmM1MjAiLCJ1c2VySWQiOiIxNTU0ODU1NDcxIn0=</vt:lpwstr>
  </property>
</Properties>
</file>