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4BBC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仿宋_GBK" w:hAnsi="方正仿宋_GBK" w:eastAsia="方正仿宋_GBK" w:cs="方正仿宋_GBK"/>
          <w:sz w:val="32"/>
          <w:szCs w:val="32"/>
          <w:lang w:eastAsia="zh-CN"/>
        </w:rPr>
      </w:pPr>
    </w:p>
    <w:p w14:paraId="13E5C674">
      <w:pPr>
        <w:keepNext w:val="0"/>
        <w:keepLines w:val="0"/>
        <w:pageBreakBefore w:val="0"/>
        <w:widowControl w:val="0"/>
        <w:shd w:val="clear" w:color="auto" w:fill="FFFFFF"/>
        <w:kinsoku/>
        <w:wordWrap/>
        <w:overflowPunct/>
        <w:topLinePunct w:val="0"/>
        <w:autoSpaceDE/>
        <w:autoSpaceDN/>
        <w:bidi w:val="0"/>
        <w:adjustRightInd/>
        <w:snapToGrid/>
        <w:spacing w:line="600" w:lineRule="exact"/>
        <w:jc w:val="both"/>
        <w:textAlignment w:val="auto"/>
        <w:rPr>
          <w:rFonts w:ascii="Times New Roman" w:hAnsi="Times New Roman" w:eastAsia="方正仿宋_GBK" w:cs="Times New Roman"/>
          <w:sz w:val="32"/>
          <w:szCs w:val="20"/>
        </w:rPr>
      </w:pPr>
    </w:p>
    <w:p w14:paraId="58D4C861">
      <w:pPr>
        <w:keepNext w:val="0"/>
        <w:keepLines w:val="0"/>
        <w:pageBreakBefore w:val="0"/>
        <w:shd w:val="clear" w:color="auto" w:fill="FFFFFF"/>
        <w:kinsoku/>
        <w:wordWrap/>
        <w:overflowPunct/>
        <w:topLinePunct w:val="0"/>
        <w:autoSpaceDE/>
        <w:autoSpaceDN/>
        <w:bidi w:val="0"/>
        <w:adjustRightInd/>
        <w:snapToGrid w:val="0"/>
        <w:spacing w:line="540" w:lineRule="exact"/>
        <w:jc w:val="center"/>
        <w:textAlignment w:val="auto"/>
        <w:rPr>
          <w:rFonts w:ascii="Times New Roman" w:hAnsi="Times New Roman" w:eastAsia="方正小标宋_GBK"/>
          <w:sz w:val="44"/>
          <w:szCs w:val="44"/>
        </w:rPr>
      </w:pPr>
      <w:r>
        <w:rPr>
          <w:rFonts w:hint="eastAsia" w:ascii="Times New Roman" w:hAnsi="Times New Roman" w:eastAsia="方正小标宋_GBK"/>
          <w:sz w:val="44"/>
          <w:szCs w:val="44"/>
        </w:rPr>
        <w:t>重庆市长寿区人民政府</w:t>
      </w:r>
    </w:p>
    <w:p w14:paraId="2648EAFC">
      <w:pPr>
        <w:keepNext w:val="0"/>
        <w:keepLines w:val="0"/>
        <w:pageBreakBefore w:val="0"/>
        <w:shd w:val="clear" w:color="auto" w:fill="FFFFFF"/>
        <w:kinsoku/>
        <w:wordWrap/>
        <w:overflowPunct/>
        <w:topLinePunct w:val="0"/>
        <w:autoSpaceDE/>
        <w:autoSpaceDN/>
        <w:bidi w:val="0"/>
        <w:adjustRightInd/>
        <w:snapToGrid w:val="0"/>
        <w:spacing w:line="540" w:lineRule="exact"/>
        <w:jc w:val="center"/>
        <w:textAlignment w:val="auto"/>
        <w:rPr>
          <w:rFonts w:hint="eastAsia" w:ascii="Times New Roman" w:hAnsi="Times New Roman" w:eastAsia="方正小标宋_GBK"/>
          <w:sz w:val="44"/>
          <w:szCs w:val="44"/>
        </w:rPr>
      </w:pPr>
      <w:r>
        <w:rPr>
          <w:rFonts w:hint="eastAsia" w:ascii="Times New Roman" w:hAnsi="Times New Roman" w:eastAsia="方正小标宋_GBK"/>
          <w:sz w:val="44"/>
          <w:szCs w:val="44"/>
        </w:rPr>
        <w:t>关于公布执行</w:t>
      </w:r>
      <w:r>
        <w:rPr>
          <w:rFonts w:hint="eastAsia" w:ascii="Times New Roman" w:hAnsi="Times New Roman" w:eastAsia="方正小标宋_GBK"/>
          <w:sz w:val="44"/>
          <w:szCs w:val="44"/>
          <w:lang w:eastAsia="zh-CN"/>
        </w:rPr>
        <w:t>长寿</w:t>
      </w:r>
      <w:r>
        <w:rPr>
          <w:rFonts w:hint="eastAsia" w:ascii="Times New Roman" w:hAnsi="Times New Roman" w:eastAsia="方正小标宋_GBK"/>
          <w:sz w:val="44"/>
          <w:szCs w:val="44"/>
        </w:rPr>
        <w:t>区国有建设用地使用权</w:t>
      </w:r>
    </w:p>
    <w:p w14:paraId="42512DF5">
      <w:pPr>
        <w:keepNext w:val="0"/>
        <w:keepLines w:val="0"/>
        <w:pageBreakBefore w:val="0"/>
        <w:widowControl/>
        <w:kinsoku/>
        <w:wordWrap/>
        <w:overflowPunct/>
        <w:topLinePunct w:val="0"/>
        <w:autoSpaceDE/>
        <w:autoSpaceDN/>
        <w:bidi w:val="0"/>
        <w:adjustRightInd/>
        <w:spacing w:line="540" w:lineRule="exact"/>
        <w:jc w:val="center"/>
        <w:textAlignment w:val="auto"/>
        <w:outlineLvl w:val="1"/>
        <w:rPr>
          <w:rFonts w:hint="eastAsia" w:ascii="方正小标宋_GBK" w:hAnsi="宋体" w:eastAsia="方正小标宋_GBK" w:cs="宋体"/>
          <w:kern w:val="0"/>
          <w:sz w:val="44"/>
          <w:szCs w:val="44"/>
        </w:rPr>
      </w:pPr>
      <w:r>
        <w:rPr>
          <w:rFonts w:hint="eastAsia" w:ascii="Times New Roman" w:hAnsi="Times New Roman" w:eastAsia="方正小标宋_GBK"/>
          <w:sz w:val="44"/>
          <w:szCs w:val="44"/>
        </w:rPr>
        <w:t>土地级别和基准地价的通知</w:t>
      </w:r>
    </w:p>
    <w:p w14:paraId="07DFC154">
      <w:pPr>
        <w:keepNext w:val="0"/>
        <w:keepLines w:val="0"/>
        <w:pageBreakBefore w:val="0"/>
        <w:shd w:val="clear" w:color="auto" w:fill="FFFFFF"/>
        <w:kinsoku/>
        <w:wordWrap/>
        <w:overflowPunct/>
        <w:topLinePunct w:val="0"/>
        <w:autoSpaceDE/>
        <w:autoSpaceDN/>
        <w:bidi w:val="0"/>
        <w:adjustRightInd/>
        <w:spacing w:line="540" w:lineRule="exact"/>
        <w:jc w:val="center"/>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长寿府发〔20</w:t>
      </w:r>
      <w:r>
        <w:rPr>
          <w:rFonts w:hint="eastAsia" w:ascii="Times New Roman" w:hAnsi="Times New Roman" w:eastAsia="方正仿宋_GBK" w:cs="Times New Roman"/>
          <w:sz w:val="32"/>
          <w:szCs w:val="20"/>
          <w:lang w:val="en-US" w:eastAsia="zh-CN"/>
        </w:rPr>
        <w:t>22</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val="en-US" w:eastAsia="zh-CN"/>
        </w:rPr>
        <w:t>38</w:t>
      </w:r>
      <w:r>
        <w:rPr>
          <w:rFonts w:hint="eastAsia" w:ascii="Times New Roman" w:hAnsi="Times New Roman" w:eastAsia="方正仿宋_GBK" w:cs="Times New Roman"/>
          <w:sz w:val="32"/>
          <w:szCs w:val="20"/>
        </w:rPr>
        <w:t>号</w:t>
      </w:r>
    </w:p>
    <w:p w14:paraId="3A4D4F73">
      <w:pPr>
        <w:keepNext w:val="0"/>
        <w:keepLines w:val="0"/>
        <w:pageBreakBefore w:val="0"/>
        <w:widowControl w:val="0"/>
        <w:shd w:val="clear" w:color="auto" w:fill="FFFFFF"/>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20"/>
        </w:rPr>
      </w:pPr>
    </w:p>
    <w:p w14:paraId="3E352094">
      <w:pPr>
        <w:keepNext w:val="0"/>
        <w:keepLines w:val="0"/>
        <w:pageBreakBefore w:val="0"/>
        <w:widowControl w:val="0"/>
        <w:shd w:val="clear" w:color="auto" w:fill="FFFFFF"/>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lang w:eastAsia="zh-CN"/>
        </w:rPr>
        <w:t>各镇人民政府、街道办事处</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eastAsia="zh-CN"/>
        </w:rPr>
        <w:t>区级各部门</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eastAsia="zh-CN"/>
        </w:rPr>
        <w:t>有关单位</w:t>
      </w:r>
      <w:r>
        <w:rPr>
          <w:rFonts w:hint="eastAsia" w:ascii="Times New Roman" w:hAnsi="Times New Roman" w:eastAsia="方正仿宋_GBK" w:cs="Times New Roman"/>
          <w:sz w:val="32"/>
          <w:szCs w:val="20"/>
        </w:rPr>
        <w:t>：</w:t>
      </w:r>
    </w:p>
    <w:p w14:paraId="03ABDDAE">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根据《中华人民共和国城市房地产管理法》</w:t>
      </w:r>
      <w:r>
        <w:rPr>
          <w:rFonts w:hint="eastAsia" w:ascii="Times New Roman" w:hAnsi="Times New Roman" w:eastAsia="方正仿宋_GBK" w:cs="Times New Roman"/>
          <w:sz w:val="32"/>
          <w:szCs w:val="20"/>
          <w:lang w:eastAsia="zh-CN"/>
        </w:rPr>
        <w:t>《中共中央国务院关于构建更加完善的要素市场化配置体制机制的意见》</w:t>
      </w:r>
      <w:r>
        <w:rPr>
          <w:rFonts w:hint="eastAsia" w:ascii="Times New Roman" w:hAnsi="Times New Roman" w:eastAsia="方正仿宋_GBK" w:cs="Times New Roman"/>
          <w:sz w:val="32"/>
          <w:szCs w:val="20"/>
        </w:rPr>
        <w:t>《自然资源部办公厅关于做好2021年度自然资源评价评估有关工作的通知》</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自然资办发〔2021〕39号</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和《重庆市规划和自然资源局关于做好2021年度自然资源评价评估工作的通知》</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渝规资办〔2021〕384号</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精神</w:t>
      </w:r>
      <w:r>
        <w:rPr>
          <w:rFonts w:hint="eastAsia" w:ascii="Times New Roman" w:hAnsi="Times New Roman" w:eastAsia="方正仿宋_GBK" w:cs="Times New Roman"/>
          <w:sz w:val="32"/>
          <w:szCs w:val="20"/>
          <w:lang w:eastAsia="zh-CN"/>
        </w:rPr>
        <w:t>，为进一步加强自然资源管理，完善科学的地价管理体系，规范土地市场秩序，发挥政府的指导调控作用，结合我区土地价格变化情况，经区政府研究决定，</w:t>
      </w:r>
      <w:r>
        <w:rPr>
          <w:rFonts w:hint="eastAsia" w:ascii="Times New Roman" w:hAnsi="Times New Roman" w:eastAsia="方正仿宋_GBK" w:cs="Times New Roman"/>
          <w:sz w:val="32"/>
          <w:szCs w:val="20"/>
        </w:rPr>
        <w:t>对</w:t>
      </w:r>
      <w:r>
        <w:rPr>
          <w:rFonts w:hint="eastAsia" w:ascii="Times New Roman" w:hAnsi="Times New Roman" w:eastAsia="方正仿宋_GBK" w:cs="Times New Roman"/>
          <w:sz w:val="32"/>
          <w:szCs w:val="20"/>
          <w:lang w:eastAsia="zh-CN"/>
        </w:rPr>
        <w:t>全区</w:t>
      </w:r>
      <w:r>
        <w:rPr>
          <w:rFonts w:hint="eastAsia" w:ascii="Times New Roman" w:hAnsi="Times New Roman" w:eastAsia="方正仿宋_GBK" w:cs="Times New Roman"/>
          <w:sz w:val="32"/>
          <w:szCs w:val="20"/>
        </w:rPr>
        <w:t>国有建设用地使用权土地级别和基准地价进行</w:t>
      </w:r>
      <w:r>
        <w:rPr>
          <w:rFonts w:hint="eastAsia" w:ascii="Times New Roman" w:hAnsi="Times New Roman" w:eastAsia="方正仿宋_GBK" w:cs="Times New Roman"/>
          <w:sz w:val="32"/>
          <w:szCs w:val="20"/>
          <w:lang w:eastAsia="zh-CN"/>
        </w:rPr>
        <w:t>了</w:t>
      </w:r>
      <w:r>
        <w:rPr>
          <w:rFonts w:hint="eastAsia" w:ascii="Times New Roman" w:hAnsi="Times New Roman" w:eastAsia="方正仿宋_GBK" w:cs="Times New Roman"/>
          <w:sz w:val="32"/>
          <w:szCs w:val="20"/>
        </w:rPr>
        <w:t>更新，</w:t>
      </w:r>
      <w:r>
        <w:rPr>
          <w:rFonts w:hint="eastAsia" w:ascii="Times New Roman" w:hAnsi="Times New Roman" w:eastAsia="方正仿宋_GBK" w:cs="Times New Roman"/>
          <w:sz w:val="32"/>
          <w:szCs w:val="20"/>
          <w:lang w:eastAsia="zh-CN"/>
        </w:rPr>
        <w:t>请遵照执行，</w:t>
      </w:r>
      <w:r>
        <w:rPr>
          <w:rFonts w:hint="eastAsia" w:ascii="Times New Roman" w:hAnsi="Times New Roman" w:eastAsia="方正仿宋_GBK" w:cs="Times New Roman"/>
          <w:sz w:val="32"/>
          <w:szCs w:val="20"/>
        </w:rPr>
        <w:t>现就有关事项通知如下</w:t>
      </w:r>
      <w:r>
        <w:rPr>
          <w:rFonts w:hint="eastAsia" w:ascii="Times New Roman" w:hAnsi="Times New Roman" w:eastAsia="方正仿宋_GBK" w:cs="Times New Roman"/>
          <w:sz w:val="32"/>
          <w:szCs w:val="20"/>
          <w:lang w:eastAsia="zh-CN"/>
        </w:rPr>
        <w:t>：</w:t>
      </w:r>
    </w:p>
    <w:p w14:paraId="6AE8CE02">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lang w:eastAsia="zh-CN"/>
        </w:rPr>
        <w:t>一、基准地价是城镇土地分区域、分用途测算出的平均价格（含土地出让金），是政府的宏观调控价格，也是土地估价及有关部门制定各种土地费（税）的政策依据，不是具体收费标准</w:t>
      </w:r>
      <w:r>
        <w:rPr>
          <w:rFonts w:hint="eastAsia" w:ascii="Times New Roman" w:hAnsi="Times New Roman" w:eastAsia="方正仿宋_GBK" w:cs="Times New Roman"/>
          <w:sz w:val="32"/>
          <w:szCs w:val="20"/>
        </w:rPr>
        <w:t>。</w:t>
      </w:r>
    </w:p>
    <w:p w14:paraId="0C9AB495">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二、土地级别是根据城镇土地自然和经济属性而划分出的土地等级序列。宗地级别不确定时，可参照土地级别图或宗地周围土地级别确定。</w:t>
      </w:r>
    </w:p>
    <w:p w14:paraId="0A5DB94A">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三、长寿区</w:t>
      </w:r>
      <w:r>
        <w:rPr>
          <w:rFonts w:hint="eastAsia" w:ascii="Times New Roman" w:hAnsi="Times New Roman" w:eastAsia="方正仿宋_GBK" w:cs="Times New Roman"/>
          <w:sz w:val="32"/>
          <w:szCs w:val="20"/>
        </w:rPr>
        <w:t>国有建设用地使用权</w:t>
      </w:r>
      <w:r>
        <w:rPr>
          <w:rFonts w:hint="eastAsia" w:ascii="Times New Roman" w:hAnsi="Times New Roman" w:eastAsia="方正仿宋_GBK" w:cs="Times New Roman"/>
          <w:sz w:val="32"/>
          <w:szCs w:val="20"/>
          <w:lang w:eastAsia="zh-CN"/>
        </w:rPr>
        <w:t>基准地价更新成果包括基准地价表、城镇土地级别册、基准地价说明、城镇各类</w:t>
      </w:r>
      <w:r>
        <w:rPr>
          <w:rFonts w:hint="eastAsia" w:ascii="Times New Roman" w:hAnsi="Times New Roman" w:eastAsia="方正仿宋_GBK" w:cs="Times New Roman"/>
          <w:sz w:val="32"/>
          <w:szCs w:val="20"/>
        </w:rPr>
        <w:t>土地级别和基准地价图</w:t>
      </w:r>
      <w:r>
        <w:rPr>
          <w:rFonts w:hint="eastAsia" w:ascii="Times New Roman" w:hAnsi="Times New Roman" w:eastAsia="方正仿宋_GBK" w:cs="Times New Roman"/>
          <w:sz w:val="32"/>
          <w:szCs w:val="20"/>
          <w:lang w:eastAsia="zh-CN"/>
        </w:rPr>
        <w:t>等，与本通知一并印发，并于印发之日起施行。原《重庆市长寿区人民政府关于公布长寿区国有建设用地使用权土地级别和基准地价的通知》（长寿府发</w:t>
      </w:r>
      <w:r>
        <w:rPr>
          <w:rFonts w:hint="eastAsia" w:ascii="Times New Roman" w:hAnsi="Times New Roman" w:eastAsia="方正仿宋_GBK" w:cs="Times New Roman"/>
          <w:sz w:val="32"/>
          <w:szCs w:val="20"/>
        </w:rPr>
        <w:t>〔20</w:t>
      </w:r>
      <w:r>
        <w:rPr>
          <w:rFonts w:hint="eastAsia" w:ascii="Times New Roman" w:hAnsi="Times New Roman" w:eastAsia="方正仿宋_GBK" w:cs="Times New Roman"/>
          <w:sz w:val="32"/>
          <w:szCs w:val="20"/>
          <w:lang w:val="en-US" w:eastAsia="zh-CN"/>
        </w:rPr>
        <w:t>16</w:t>
      </w:r>
      <w:r>
        <w:rPr>
          <w:rFonts w:hint="eastAsia" w:ascii="Times New Roman" w:hAnsi="Times New Roman" w:eastAsia="方正仿宋_GBK" w:cs="Times New Roman"/>
          <w:sz w:val="32"/>
          <w:szCs w:val="20"/>
        </w:rPr>
        <w:t>〕</w:t>
      </w:r>
      <w:r>
        <w:rPr>
          <w:rFonts w:hint="eastAsia" w:ascii="Times New Roman" w:hAnsi="Times New Roman" w:eastAsia="方正仿宋_GBK" w:cs="Times New Roman"/>
          <w:sz w:val="32"/>
          <w:szCs w:val="20"/>
          <w:lang w:val="en-US" w:eastAsia="zh-CN"/>
        </w:rPr>
        <w:t>97</w:t>
      </w:r>
      <w:r>
        <w:rPr>
          <w:rFonts w:hint="eastAsia" w:ascii="Times New Roman" w:hAnsi="Times New Roman" w:eastAsia="方正仿宋_GBK" w:cs="Times New Roman"/>
          <w:sz w:val="32"/>
          <w:szCs w:val="20"/>
        </w:rPr>
        <w:t>号</w:t>
      </w:r>
      <w:r>
        <w:rPr>
          <w:rFonts w:hint="eastAsia" w:ascii="Times New Roman" w:hAnsi="Times New Roman" w:eastAsia="方正仿宋_GBK" w:cs="Times New Roman"/>
          <w:sz w:val="32"/>
          <w:szCs w:val="20"/>
          <w:lang w:eastAsia="zh-CN"/>
        </w:rPr>
        <w:t>）同时废止。</w:t>
      </w:r>
    </w:p>
    <w:p w14:paraId="105AA357">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四、本通知执行之前受理但尚未办结的审批事项，仍按原文件执行。本通知公布执行之后受理的审批事项，均按本通知执行。</w:t>
      </w:r>
    </w:p>
    <w:p w14:paraId="09C4157A">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lang w:eastAsia="zh-CN"/>
        </w:rPr>
      </w:pPr>
      <w:r>
        <w:rPr>
          <w:rFonts w:hint="eastAsia" w:ascii="Times New Roman" w:hAnsi="Times New Roman" w:eastAsia="方正仿宋_GBK" w:cs="Times New Roman"/>
          <w:sz w:val="32"/>
          <w:szCs w:val="20"/>
          <w:lang w:eastAsia="zh-CN"/>
        </w:rPr>
        <w:t>五、区政府有关部门做好相关政策的衔接工作，施行中的具体问题由区规划自然资源局负责协调解决。</w:t>
      </w:r>
    </w:p>
    <w:p w14:paraId="2BD94CC3">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sz w:val="32"/>
          <w:szCs w:val="20"/>
        </w:rPr>
      </w:pPr>
    </w:p>
    <w:p w14:paraId="67687B1C">
      <w:pPr>
        <w:keepNext w:val="0"/>
        <w:keepLines w:val="0"/>
        <w:pageBreakBefore w:val="0"/>
        <w:widowControl w:val="0"/>
        <w:shd w:val="clear" w:color="auto" w:fill="FFFFFF"/>
        <w:kinsoku/>
        <w:wordWrap/>
        <w:overflowPunct/>
        <w:topLinePunct w:val="0"/>
        <w:autoSpaceDE/>
        <w:autoSpaceDN/>
        <w:bidi w:val="0"/>
        <w:adjustRightInd/>
        <w:snapToGrid/>
        <w:spacing w:line="600" w:lineRule="exact"/>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　　附件：1．长寿区城镇国有建设用地使用权基准地价表</w:t>
      </w:r>
    </w:p>
    <w:p w14:paraId="0AD0393A">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1600" w:firstLineChars="5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2．长寿区城镇土地级别册</w:t>
      </w:r>
    </w:p>
    <w:p w14:paraId="6FF20BD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1600" w:firstLineChars="500"/>
        <w:jc w:val="both"/>
        <w:textAlignment w:val="auto"/>
        <w:outlineLvl w:val="9"/>
        <w:rPr>
          <w:rFonts w:hint="eastAsia" w:ascii="Times New Roman" w:hAnsi="Times New Roman" w:eastAsia="方正仿宋_GBK" w:cs="Times New Roman"/>
          <w:sz w:val="32"/>
          <w:szCs w:val="20"/>
          <w:lang w:val="en-US" w:eastAsia="zh-CN"/>
        </w:rPr>
      </w:pPr>
      <w:r>
        <w:rPr>
          <w:rFonts w:hint="eastAsia" w:ascii="Times New Roman" w:hAnsi="Times New Roman" w:eastAsia="方正仿宋_GBK" w:cs="Times New Roman"/>
          <w:sz w:val="32"/>
          <w:szCs w:val="20"/>
          <w:lang w:val="en-US" w:eastAsia="zh-CN"/>
        </w:rPr>
        <w:t>3. 长寿区城镇建设用地使用权基准地价说明</w:t>
      </w:r>
    </w:p>
    <w:p w14:paraId="145AF7A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1600" w:firstLineChars="500"/>
        <w:jc w:val="both"/>
        <w:textAlignment w:val="auto"/>
        <w:outlineLvl w:val="9"/>
        <w:rPr>
          <w:rFonts w:hint="eastAsia" w:ascii="Times New Roman" w:hAnsi="Times New Roman" w:eastAsia="方正仿宋_GBK" w:cs="Times New Roman"/>
          <w:sz w:val="32"/>
          <w:szCs w:val="20"/>
          <w:lang w:val="en-US" w:eastAsia="zh-CN"/>
        </w:rPr>
      </w:pPr>
      <w:r>
        <w:rPr>
          <w:rFonts w:hint="eastAsia" w:ascii="Times New Roman" w:hAnsi="Times New Roman" w:eastAsia="方正仿宋_GBK" w:cs="Times New Roman"/>
          <w:sz w:val="32"/>
          <w:szCs w:val="20"/>
          <w:lang w:val="en-US" w:eastAsia="zh-CN"/>
        </w:rPr>
        <w:t>4. 长寿区城区各类用地土地级别和基准地价图</w:t>
      </w:r>
    </w:p>
    <w:p w14:paraId="45EDB726">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rPr>
      </w:pPr>
    </w:p>
    <w:p w14:paraId="6155FAAE">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rPr>
      </w:pPr>
    </w:p>
    <w:p w14:paraId="24A2CDBD">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sz w:val="32"/>
          <w:szCs w:val="20"/>
        </w:rPr>
      </w:pPr>
    </w:p>
    <w:p w14:paraId="711A0B25">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4716" w:firstLineChars="1474"/>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rPr>
        <w:t>重庆市长寿区人民政府</w:t>
      </w:r>
    </w:p>
    <w:p w14:paraId="0CD6C320">
      <w:pPr>
        <w:keepNext w:val="0"/>
        <w:keepLines w:val="0"/>
        <w:pageBreakBefore w:val="0"/>
        <w:widowControl w:val="0"/>
        <w:shd w:val="clear" w:color="auto" w:fill="FFFFFF"/>
        <w:kinsoku/>
        <w:wordWrap/>
        <w:overflowPunct/>
        <w:topLinePunct w:val="0"/>
        <w:autoSpaceDE/>
        <w:autoSpaceDN/>
        <w:bidi w:val="0"/>
        <w:adjustRightInd/>
        <w:snapToGrid/>
        <w:spacing w:line="600" w:lineRule="exact"/>
        <w:ind w:right="840" w:rightChars="400"/>
        <w:jc w:val="center"/>
        <w:textAlignment w:val="auto"/>
        <w:rPr>
          <w:rFonts w:ascii="Times New Roman" w:hAnsi="Times New Roman" w:eastAsia="方正仿宋_GBK" w:cs="Times New Roman"/>
          <w:sz w:val="32"/>
          <w:szCs w:val="20"/>
        </w:rPr>
      </w:pP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20</w:t>
      </w:r>
      <w:r>
        <w:rPr>
          <w:rFonts w:hint="eastAsia" w:ascii="Times New Roman" w:hAnsi="Times New Roman" w:eastAsia="方正仿宋_GBK" w:cs="Times New Roman"/>
          <w:sz w:val="32"/>
          <w:szCs w:val="20"/>
          <w:lang w:val="en-US" w:eastAsia="zh-CN"/>
        </w:rPr>
        <w:t>22</w:t>
      </w:r>
      <w:r>
        <w:rPr>
          <w:rFonts w:hint="eastAsia" w:ascii="Times New Roman" w:hAnsi="Times New Roman" w:eastAsia="方正仿宋_GBK" w:cs="Times New Roman"/>
          <w:sz w:val="32"/>
          <w:szCs w:val="20"/>
        </w:rPr>
        <w:t>年</w:t>
      </w:r>
      <w:r>
        <w:rPr>
          <w:rFonts w:hint="eastAsia" w:ascii="Times New Roman" w:hAnsi="Times New Roman" w:eastAsia="方正仿宋_GBK" w:cs="Times New Roman"/>
          <w:sz w:val="32"/>
          <w:szCs w:val="20"/>
          <w:lang w:val="en-US" w:eastAsia="zh-CN"/>
        </w:rPr>
        <w:t>6</w:t>
      </w:r>
      <w:r>
        <w:rPr>
          <w:rFonts w:hint="eastAsia" w:ascii="Times New Roman" w:hAnsi="Times New Roman" w:eastAsia="方正仿宋_GBK" w:cs="Times New Roman"/>
          <w:sz w:val="32"/>
          <w:szCs w:val="20"/>
        </w:rPr>
        <w:t>月</w:t>
      </w:r>
      <w:r>
        <w:rPr>
          <w:rFonts w:hint="eastAsia" w:ascii="Times New Roman" w:hAnsi="Times New Roman" w:eastAsia="方正仿宋_GBK" w:cs="Times New Roman"/>
          <w:sz w:val="32"/>
          <w:szCs w:val="20"/>
          <w:lang w:val="en-US" w:eastAsia="zh-CN"/>
        </w:rPr>
        <w:t>29</w:t>
      </w:r>
      <w:r>
        <w:rPr>
          <w:rFonts w:hint="eastAsia" w:ascii="Times New Roman" w:hAnsi="Times New Roman" w:eastAsia="方正仿宋_GBK" w:cs="Times New Roman"/>
          <w:sz w:val="32"/>
          <w:szCs w:val="20"/>
        </w:rPr>
        <w:t>日</w:t>
      </w:r>
    </w:p>
    <w:p w14:paraId="50E20E76">
      <w:pPr>
        <w:widowControl/>
        <w:spacing w:line="560" w:lineRule="exact"/>
        <w:ind w:left="300" w:right="840" w:rightChars="400" w:firstLine="640" w:firstLineChars="200"/>
        <w:jc w:val="center"/>
        <w:outlineLvl w:val="0"/>
        <w:rPr>
          <w:rFonts w:ascii="Times New Roman" w:hAnsi="Times New Roman" w:eastAsia="方正仿宋_GBK" w:cs="Times New Roman"/>
          <w:color w:val="000000"/>
          <w:kern w:val="0"/>
          <w:sz w:val="32"/>
          <w:szCs w:val="32"/>
          <w:shd w:val="clear" w:color="auto" w:fill="FFFFFF"/>
        </w:rPr>
      </w:pPr>
    </w:p>
    <w:p w14:paraId="54B77C3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4F74EE5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220384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05570C8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741F67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6DE18A0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0ECA465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5E9521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16F6A8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12EDB4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006E498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63E307C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3C04F59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33462C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6D4BB35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37C386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63A2765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7484CA7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4836330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354C39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2FD5CE1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72EF670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56F47A5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14F23A0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lang w:val="en-US" w:eastAsia="zh-CN"/>
        </w:rPr>
      </w:pPr>
    </w:p>
    <w:p w14:paraId="4AD12973">
      <w:pPr>
        <w:shd w:val="clear" w:color="auto" w:fill="FFFFFF"/>
        <w:rPr>
          <w:rFonts w:hint="eastAsia" w:ascii="Times New Roman" w:hAnsi="Times New Roman" w:eastAsia="方正黑体_GBK" w:cs="Times New Roman"/>
          <w:sz w:val="32"/>
          <w:szCs w:val="20"/>
        </w:rPr>
      </w:pPr>
      <w:r>
        <w:rPr>
          <w:rFonts w:hint="eastAsia" w:ascii="Times New Roman" w:hAnsi="Times New Roman" w:eastAsia="方正黑体_GBK" w:cs="Times New Roman"/>
          <w:sz w:val="32"/>
          <w:szCs w:val="20"/>
        </w:rPr>
        <w:t>附件1</w:t>
      </w:r>
    </w:p>
    <w:p w14:paraId="014CD236">
      <w:pPr>
        <w:pStyle w:val="2"/>
      </w:pPr>
    </w:p>
    <w:p w14:paraId="1611242A">
      <w:pPr>
        <w:shd w:val="clear" w:color="auto" w:fill="FFFFFF"/>
        <w:snapToGrid w:val="0"/>
        <w:jc w:val="center"/>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长寿区城镇国有建设用地使用权基准地价表</w:t>
      </w:r>
    </w:p>
    <w:p w14:paraId="678E71F4">
      <w:pPr>
        <w:pStyle w:val="2"/>
      </w:pPr>
    </w:p>
    <w:p w14:paraId="3647A949">
      <w:pPr>
        <w:shd w:val="clear" w:color="auto" w:fill="FFFFFF"/>
        <w:jc w:val="right"/>
        <w:rPr>
          <w:rFonts w:ascii="Times New Roman" w:hAnsi="Times New Roman" w:eastAsia="方正仿宋_GBK" w:cs="Times New Roman"/>
          <w:sz w:val="32"/>
          <w:szCs w:val="20"/>
        </w:rPr>
      </w:pPr>
      <w:r>
        <w:rPr>
          <w:rFonts w:hint="eastAsia" w:ascii="Times New Roman" w:hAnsi="Times New Roman" w:eastAsia="方正仿宋_GBK" w:cs="宋体"/>
          <w:kern w:val="0"/>
          <w:sz w:val="24"/>
          <w:szCs w:val="24"/>
        </w:rPr>
        <w:t>单位：元/平方米（建筑面积）</w:t>
      </w:r>
    </w:p>
    <w:tbl>
      <w:tblPr>
        <w:tblStyle w:val="1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745"/>
        <w:gridCol w:w="1801"/>
        <w:gridCol w:w="1950"/>
        <w:gridCol w:w="1940"/>
      </w:tblGrid>
      <w:tr w14:paraId="173C6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2" w:hRule="exact"/>
          <w:jc w:val="center"/>
        </w:trPr>
        <w:tc>
          <w:tcPr>
            <w:tcW w:w="1624" w:type="dxa"/>
            <w:tcBorders>
              <w:top w:val="single" w:color="auto" w:sz="4" w:space="0"/>
              <w:left w:val="single" w:color="auto" w:sz="4" w:space="0"/>
              <w:tl2br w:val="nil"/>
              <w:tr2bl w:val="nil"/>
            </w:tcBorders>
            <w:noWrap w:val="0"/>
            <w:vAlign w:val="center"/>
          </w:tcPr>
          <w:p w14:paraId="1F598815">
            <w:pPr>
              <w:snapToGrid w:val="0"/>
              <w:jc w:val="center"/>
              <w:rPr>
                <w:rFonts w:ascii="Times New Roman" w:hAnsi="Times New Roman" w:eastAsia="方正仿宋_GBK" w:cs="Tahoma"/>
                <w:b w:val="0"/>
                <w:bCs w:val="0"/>
                <w:color w:val="000000"/>
                <w:sz w:val="28"/>
                <w:szCs w:val="21"/>
              </w:rPr>
            </w:pPr>
            <w:r>
              <w:rPr>
                <w:rFonts w:hint="eastAsia" w:ascii="Times New Roman" w:hAnsi="Times New Roman" w:eastAsia="方正仿宋_GBK" w:cs="Tahoma"/>
                <w:b w:val="0"/>
                <w:bCs w:val="0"/>
                <w:color w:val="000000"/>
                <w:sz w:val="28"/>
                <w:szCs w:val="21"/>
              </w:rPr>
              <w:t>级别</w:t>
            </w:r>
          </w:p>
        </w:tc>
        <w:tc>
          <w:tcPr>
            <w:tcW w:w="1745" w:type="dxa"/>
            <w:tcBorders>
              <w:top w:val="single" w:color="auto" w:sz="4" w:space="0"/>
              <w:tl2br w:val="nil"/>
              <w:tr2bl w:val="nil"/>
            </w:tcBorders>
            <w:noWrap w:val="0"/>
            <w:vAlign w:val="center"/>
          </w:tcPr>
          <w:p w14:paraId="2B5489FF">
            <w:pPr>
              <w:snapToGrid w:val="0"/>
              <w:jc w:val="center"/>
              <w:rPr>
                <w:rFonts w:ascii="Times New Roman" w:hAnsi="Times New Roman" w:eastAsia="方正仿宋_GBK" w:cs="Tahoma"/>
                <w:b w:val="0"/>
                <w:bCs w:val="0"/>
                <w:color w:val="000000"/>
                <w:sz w:val="28"/>
                <w:szCs w:val="21"/>
              </w:rPr>
            </w:pPr>
            <w:r>
              <w:rPr>
                <w:rFonts w:hint="eastAsia" w:ascii="Times New Roman" w:hAnsi="Times New Roman" w:eastAsia="方正仿宋_GBK" w:cs="Tahoma"/>
                <w:b w:val="0"/>
                <w:bCs w:val="0"/>
                <w:color w:val="000000"/>
                <w:sz w:val="28"/>
                <w:szCs w:val="21"/>
              </w:rPr>
              <w:t>商服用地</w:t>
            </w:r>
          </w:p>
        </w:tc>
        <w:tc>
          <w:tcPr>
            <w:tcW w:w="1801" w:type="dxa"/>
            <w:tcBorders>
              <w:top w:val="single" w:color="auto" w:sz="4" w:space="0"/>
              <w:tl2br w:val="nil"/>
              <w:tr2bl w:val="nil"/>
            </w:tcBorders>
            <w:noWrap w:val="0"/>
            <w:vAlign w:val="center"/>
          </w:tcPr>
          <w:p w14:paraId="04328140">
            <w:pPr>
              <w:snapToGrid w:val="0"/>
              <w:jc w:val="center"/>
              <w:rPr>
                <w:rFonts w:ascii="Times New Roman" w:hAnsi="Times New Roman" w:eastAsia="方正仿宋_GBK" w:cs="Tahoma"/>
                <w:b w:val="0"/>
                <w:bCs w:val="0"/>
                <w:color w:val="000000"/>
                <w:sz w:val="28"/>
                <w:szCs w:val="21"/>
              </w:rPr>
            </w:pPr>
            <w:r>
              <w:rPr>
                <w:rFonts w:hint="eastAsia" w:ascii="Times New Roman" w:hAnsi="Times New Roman" w:eastAsia="方正仿宋_GBK" w:cs="Tahoma"/>
                <w:b w:val="0"/>
                <w:bCs w:val="0"/>
                <w:color w:val="000000"/>
                <w:sz w:val="28"/>
                <w:szCs w:val="21"/>
              </w:rPr>
              <w:t>住宅用地</w:t>
            </w:r>
          </w:p>
        </w:tc>
        <w:tc>
          <w:tcPr>
            <w:tcW w:w="1950" w:type="dxa"/>
            <w:tcBorders>
              <w:top w:val="single" w:color="auto" w:sz="4" w:space="0"/>
              <w:tl2br w:val="nil"/>
              <w:tr2bl w:val="nil"/>
            </w:tcBorders>
            <w:noWrap w:val="0"/>
            <w:vAlign w:val="center"/>
          </w:tcPr>
          <w:p w14:paraId="0C31D6D0">
            <w:pPr>
              <w:snapToGrid w:val="0"/>
              <w:jc w:val="center"/>
              <w:rPr>
                <w:rFonts w:ascii="Times New Roman" w:hAnsi="Times New Roman" w:eastAsia="方正仿宋_GBK" w:cs="Tahoma"/>
                <w:b w:val="0"/>
                <w:bCs w:val="0"/>
                <w:color w:val="000000"/>
                <w:sz w:val="28"/>
                <w:szCs w:val="21"/>
              </w:rPr>
            </w:pPr>
            <w:r>
              <w:rPr>
                <w:rFonts w:hint="eastAsia" w:ascii="Times New Roman" w:hAnsi="Times New Roman" w:eastAsia="方正仿宋_GBK" w:cs="Tahoma"/>
                <w:b w:val="0"/>
                <w:bCs w:val="0"/>
                <w:color w:val="000000"/>
                <w:sz w:val="28"/>
                <w:szCs w:val="21"/>
              </w:rPr>
              <w:t>工矿仓储用地</w:t>
            </w:r>
          </w:p>
        </w:tc>
        <w:tc>
          <w:tcPr>
            <w:tcW w:w="1940" w:type="dxa"/>
            <w:tcBorders>
              <w:top w:val="single" w:color="auto" w:sz="4" w:space="0"/>
              <w:right w:val="single" w:color="auto" w:sz="4" w:space="0"/>
              <w:tl2br w:val="nil"/>
              <w:tr2bl w:val="nil"/>
            </w:tcBorders>
            <w:noWrap w:val="0"/>
            <w:vAlign w:val="center"/>
          </w:tcPr>
          <w:p w14:paraId="5E816703">
            <w:pPr>
              <w:snapToGrid w:val="0"/>
              <w:jc w:val="center"/>
              <w:rPr>
                <w:rFonts w:ascii="Times New Roman" w:hAnsi="Times New Roman" w:eastAsia="方正仿宋_GBK" w:cs="Tahoma"/>
                <w:b w:val="0"/>
                <w:bCs w:val="0"/>
                <w:color w:val="000000"/>
                <w:sz w:val="28"/>
                <w:szCs w:val="21"/>
              </w:rPr>
            </w:pPr>
            <w:r>
              <w:rPr>
                <w:rFonts w:hint="eastAsia" w:ascii="Times New Roman" w:hAnsi="Times New Roman" w:eastAsia="方正仿宋_GBK" w:cs="Tahoma"/>
                <w:b w:val="0"/>
                <w:bCs w:val="0"/>
                <w:color w:val="000000"/>
                <w:sz w:val="28"/>
                <w:szCs w:val="21"/>
              </w:rPr>
              <w:t>公共管理与公共服务用地</w:t>
            </w:r>
          </w:p>
        </w:tc>
      </w:tr>
      <w:tr w14:paraId="773A9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exact"/>
          <w:jc w:val="center"/>
        </w:trPr>
        <w:tc>
          <w:tcPr>
            <w:tcW w:w="1624" w:type="dxa"/>
            <w:tcBorders>
              <w:left w:val="single" w:color="auto" w:sz="4" w:space="0"/>
              <w:tl2br w:val="nil"/>
              <w:tr2bl w:val="nil"/>
            </w:tcBorders>
            <w:noWrap w:val="0"/>
            <w:vAlign w:val="center"/>
          </w:tcPr>
          <w:p w14:paraId="2533F858">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w:t>
            </w:r>
          </w:p>
        </w:tc>
        <w:tc>
          <w:tcPr>
            <w:tcW w:w="1745" w:type="dxa"/>
            <w:tcBorders>
              <w:tl2br w:val="nil"/>
              <w:tr2bl w:val="nil"/>
            </w:tcBorders>
            <w:noWrap w:val="0"/>
            <w:vAlign w:val="center"/>
          </w:tcPr>
          <w:p w14:paraId="03C51936">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2700</w:t>
            </w:r>
          </w:p>
        </w:tc>
        <w:tc>
          <w:tcPr>
            <w:tcW w:w="1801" w:type="dxa"/>
            <w:tcBorders>
              <w:tl2br w:val="nil"/>
              <w:tr2bl w:val="nil"/>
            </w:tcBorders>
            <w:noWrap w:val="0"/>
            <w:vAlign w:val="center"/>
          </w:tcPr>
          <w:p w14:paraId="525D78FD">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3000</w:t>
            </w:r>
          </w:p>
        </w:tc>
        <w:tc>
          <w:tcPr>
            <w:tcW w:w="1950" w:type="dxa"/>
            <w:tcBorders>
              <w:tl2br w:val="nil"/>
              <w:tr2bl w:val="nil"/>
            </w:tcBorders>
            <w:noWrap w:val="0"/>
            <w:vAlign w:val="center"/>
          </w:tcPr>
          <w:p w14:paraId="57323F1A">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1200</w:t>
            </w:r>
          </w:p>
        </w:tc>
        <w:tc>
          <w:tcPr>
            <w:tcW w:w="1940" w:type="dxa"/>
            <w:tcBorders>
              <w:right w:val="single" w:color="auto" w:sz="4" w:space="0"/>
              <w:tl2br w:val="nil"/>
              <w:tr2bl w:val="nil"/>
            </w:tcBorders>
            <w:noWrap w:val="0"/>
            <w:vAlign w:val="center"/>
          </w:tcPr>
          <w:p w14:paraId="6C74E8E4">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2980</w:t>
            </w:r>
          </w:p>
        </w:tc>
      </w:tr>
      <w:tr w14:paraId="7787A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1624" w:type="dxa"/>
            <w:tcBorders>
              <w:left w:val="single" w:color="auto" w:sz="4" w:space="0"/>
              <w:tl2br w:val="nil"/>
              <w:tr2bl w:val="nil"/>
            </w:tcBorders>
            <w:noWrap w:val="0"/>
            <w:vAlign w:val="center"/>
          </w:tcPr>
          <w:p w14:paraId="32D02BCB">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w:t>
            </w:r>
          </w:p>
        </w:tc>
        <w:tc>
          <w:tcPr>
            <w:tcW w:w="1745" w:type="dxa"/>
            <w:tcBorders>
              <w:tl2br w:val="nil"/>
              <w:tr2bl w:val="nil"/>
            </w:tcBorders>
            <w:noWrap w:val="0"/>
            <w:vAlign w:val="center"/>
          </w:tcPr>
          <w:p w14:paraId="14CFF5B1">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2030</w:t>
            </w:r>
          </w:p>
        </w:tc>
        <w:tc>
          <w:tcPr>
            <w:tcW w:w="1801" w:type="dxa"/>
            <w:tcBorders>
              <w:tl2br w:val="nil"/>
              <w:tr2bl w:val="nil"/>
            </w:tcBorders>
            <w:noWrap w:val="0"/>
            <w:vAlign w:val="center"/>
          </w:tcPr>
          <w:p w14:paraId="129DAEE7">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2460</w:t>
            </w:r>
          </w:p>
        </w:tc>
        <w:tc>
          <w:tcPr>
            <w:tcW w:w="1950" w:type="dxa"/>
            <w:tcBorders>
              <w:tl2br w:val="nil"/>
              <w:tr2bl w:val="nil"/>
            </w:tcBorders>
            <w:noWrap w:val="0"/>
            <w:vAlign w:val="center"/>
          </w:tcPr>
          <w:p w14:paraId="28A596A3">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550</w:t>
            </w:r>
          </w:p>
        </w:tc>
        <w:tc>
          <w:tcPr>
            <w:tcW w:w="1940" w:type="dxa"/>
            <w:tcBorders>
              <w:right w:val="single" w:color="auto" w:sz="4" w:space="0"/>
              <w:tl2br w:val="nil"/>
              <w:tr2bl w:val="nil"/>
            </w:tcBorders>
            <w:noWrap w:val="0"/>
            <w:vAlign w:val="center"/>
          </w:tcPr>
          <w:p w14:paraId="36630F81">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1640</w:t>
            </w:r>
          </w:p>
        </w:tc>
      </w:tr>
      <w:tr w14:paraId="3F9C5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1624" w:type="dxa"/>
            <w:tcBorders>
              <w:left w:val="single" w:color="auto" w:sz="4" w:space="0"/>
              <w:tl2br w:val="nil"/>
              <w:tr2bl w:val="nil"/>
            </w:tcBorders>
            <w:noWrap w:val="0"/>
            <w:vAlign w:val="center"/>
          </w:tcPr>
          <w:p w14:paraId="2157955C">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3</w:t>
            </w:r>
          </w:p>
        </w:tc>
        <w:tc>
          <w:tcPr>
            <w:tcW w:w="1745" w:type="dxa"/>
            <w:tcBorders>
              <w:tl2br w:val="nil"/>
              <w:tr2bl w:val="nil"/>
            </w:tcBorders>
            <w:noWrap w:val="0"/>
            <w:vAlign w:val="center"/>
          </w:tcPr>
          <w:p w14:paraId="51232356">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1520</w:t>
            </w:r>
          </w:p>
        </w:tc>
        <w:tc>
          <w:tcPr>
            <w:tcW w:w="1801" w:type="dxa"/>
            <w:tcBorders>
              <w:tl2br w:val="nil"/>
              <w:tr2bl w:val="nil"/>
            </w:tcBorders>
            <w:noWrap w:val="0"/>
            <w:vAlign w:val="center"/>
          </w:tcPr>
          <w:p w14:paraId="1F39EF57">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1970</w:t>
            </w:r>
          </w:p>
        </w:tc>
        <w:tc>
          <w:tcPr>
            <w:tcW w:w="1950" w:type="dxa"/>
            <w:tcBorders>
              <w:tl2br w:val="nil"/>
              <w:tr2bl w:val="nil"/>
            </w:tcBorders>
            <w:noWrap w:val="0"/>
            <w:vAlign w:val="center"/>
          </w:tcPr>
          <w:p w14:paraId="2F80EEBD">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270</w:t>
            </w:r>
          </w:p>
        </w:tc>
        <w:tc>
          <w:tcPr>
            <w:tcW w:w="1940" w:type="dxa"/>
            <w:tcBorders>
              <w:right w:val="single" w:color="auto" w:sz="4" w:space="0"/>
              <w:tl2br w:val="nil"/>
              <w:tr2bl w:val="nil"/>
            </w:tcBorders>
            <w:noWrap w:val="0"/>
            <w:vAlign w:val="center"/>
          </w:tcPr>
          <w:p w14:paraId="2BB41666">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1210</w:t>
            </w:r>
          </w:p>
        </w:tc>
      </w:tr>
      <w:tr w14:paraId="37504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1624" w:type="dxa"/>
            <w:tcBorders>
              <w:left w:val="single" w:color="auto" w:sz="4" w:space="0"/>
              <w:tl2br w:val="nil"/>
              <w:tr2bl w:val="nil"/>
            </w:tcBorders>
            <w:noWrap w:val="0"/>
            <w:vAlign w:val="center"/>
          </w:tcPr>
          <w:p w14:paraId="0D22E384">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4</w:t>
            </w:r>
          </w:p>
        </w:tc>
        <w:tc>
          <w:tcPr>
            <w:tcW w:w="1745" w:type="dxa"/>
            <w:tcBorders>
              <w:tl2br w:val="nil"/>
              <w:tr2bl w:val="nil"/>
            </w:tcBorders>
            <w:noWrap w:val="0"/>
            <w:vAlign w:val="center"/>
          </w:tcPr>
          <w:p w14:paraId="0D282493">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1060</w:t>
            </w:r>
          </w:p>
        </w:tc>
        <w:tc>
          <w:tcPr>
            <w:tcW w:w="1801" w:type="dxa"/>
            <w:tcBorders>
              <w:tl2br w:val="nil"/>
              <w:tr2bl w:val="nil"/>
            </w:tcBorders>
            <w:noWrap w:val="0"/>
            <w:vAlign w:val="center"/>
          </w:tcPr>
          <w:p w14:paraId="5C6AE3A0">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1380</w:t>
            </w:r>
          </w:p>
        </w:tc>
        <w:tc>
          <w:tcPr>
            <w:tcW w:w="1950" w:type="dxa"/>
            <w:tcBorders>
              <w:tl2br w:val="nil"/>
              <w:tr2bl w:val="nil"/>
            </w:tcBorders>
            <w:noWrap w:val="0"/>
            <w:vAlign w:val="center"/>
          </w:tcPr>
          <w:p w14:paraId="642BEFAB">
            <w:pPr>
              <w:widowControl/>
              <w:ind w:firstLine="0" w:firstLineChars="0"/>
              <w:jc w:val="center"/>
              <w:textAlignment w:val="center"/>
              <w:rPr>
                <w:rFonts w:ascii="Times New Roman" w:hAnsi="Times New Roman" w:eastAsia="方正仿宋_GBK" w:cs="Tahoma"/>
                <w:color w:val="000000"/>
                <w:kern w:val="0"/>
                <w:sz w:val="28"/>
                <w:szCs w:val="21"/>
              </w:rPr>
            </w:pPr>
          </w:p>
        </w:tc>
        <w:tc>
          <w:tcPr>
            <w:tcW w:w="1940" w:type="dxa"/>
            <w:tcBorders>
              <w:right w:val="single" w:color="auto" w:sz="4" w:space="0"/>
              <w:tl2br w:val="nil"/>
              <w:tr2bl w:val="nil"/>
            </w:tcBorders>
            <w:noWrap w:val="0"/>
            <w:vAlign w:val="center"/>
          </w:tcPr>
          <w:p w14:paraId="57C00024">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790</w:t>
            </w:r>
          </w:p>
        </w:tc>
      </w:tr>
      <w:tr w14:paraId="6393A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624" w:type="dxa"/>
            <w:tcBorders>
              <w:left w:val="single" w:color="auto" w:sz="4" w:space="0"/>
              <w:tl2br w:val="nil"/>
              <w:tr2bl w:val="nil"/>
            </w:tcBorders>
            <w:noWrap w:val="0"/>
            <w:vAlign w:val="center"/>
          </w:tcPr>
          <w:p w14:paraId="179AAEF0">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5</w:t>
            </w:r>
          </w:p>
        </w:tc>
        <w:tc>
          <w:tcPr>
            <w:tcW w:w="1745" w:type="dxa"/>
            <w:tcBorders>
              <w:tl2br w:val="nil"/>
              <w:tr2bl w:val="nil"/>
            </w:tcBorders>
            <w:noWrap w:val="0"/>
            <w:vAlign w:val="center"/>
          </w:tcPr>
          <w:p w14:paraId="0F316971">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740</w:t>
            </w:r>
          </w:p>
        </w:tc>
        <w:tc>
          <w:tcPr>
            <w:tcW w:w="1801" w:type="dxa"/>
            <w:tcBorders>
              <w:tl2br w:val="nil"/>
              <w:tr2bl w:val="nil"/>
            </w:tcBorders>
            <w:noWrap w:val="0"/>
            <w:vAlign w:val="center"/>
          </w:tcPr>
          <w:p w14:paraId="2F72EC8E">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970</w:t>
            </w:r>
          </w:p>
        </w:tc>
        <w:tc>
          <w:tcPr>
            <w:tcW w:w="1950" w:type="dxa"/>
            <w:tcBorders>
              <w:tl2br w:val="nil"/>
              <w:tr2bl w:val="nil"/>
            </w:tcBorders>
            <w:noWrap w:val="0"/>
            <w:vAlign w:val="center"/>
          </w:tcPr>
          <w:p w14:paraId="556F8B1C">
            <w:pPr>
              <w:widowControl/>
              <w:ind w:firstLine="0" w:firstLineChars="0"/>
              <w:jc w:val="center"/>
              <w:textAlignment w:val="center"/>
              <w:rPr>
                <w:rFonts w:ascii="Times New Roman" w:hAnsi="Times New Roman" w:eastAsia="方正仿宋_GBK" w:cs="Tahoma"/>
                <w:color w:val="000000"/>
                <w:kern w:val="0"/>
                <w:sz w:val="28"/>
                <w:szCs w:val="21"/>
              </w:rPr>
            </w:pPr>
          </w:p>
        </w:tc>
        <w:tc>
          <w:tcPr>
            <w:tcW w:w="1940" w:type="dxa"/>
            <w:tcBorders>
              <w:right w:val="single" w:color="auto" w:sz="4" w:space="0"/>
              <w:tl2br w:val="nil"/>
              <w:tr2bl w:val="nil"/>
            </w:tcBorders>
            <w:noWrap w:val="0"/>
            <w:vAlign w:val="center"/>
          </w:tcPr>
          <w:p w14:paraId="3590C848">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490</w:t>
            </w:r>
          </w:p>
        </w:tc>
      </w:tr>
      <w:tr w14:paraId="0D050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1624" w:type="dxa"/>
            <w:tcBorders>
              <w:left w:val="single" w:color="auto" w:sz="4" w:space="0"/>
              <w:tl2br w:val="nil"/>
              <w:tr2bl w:val="nil"/>
            </w:tcBorders>
            <w:noWrap w:val="0"/>
            <w:vAlign w:val="center"/>
          </w:tcPr>
          <w:p w14:paraId="49ACCB92">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6</w:t>
            </w:r>
          </w:p>
        </w:tc>
        <w:tc>
          <w:tcPr>
            <w:tcW w:w="1745" w:type="dxa"/>
            <w:tcBorders>
              <w:tl2br w:val="nil"/>
              <w:tr2bl w:val="nil"/>
            </w:tcBorders>
            <w:noWrap w:val="0"/>
            <w:vAlign w:val="center"/>
          </w:tcPr>
          <w:p w14:paraId="3FBAF89D">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520</w:t>
            </w:r>
          </w:p>
        </w:tc>
        <w:tc>
          <w:tcPr>
            <w:tcW w:w="1801" w:type="dxa"/>
            <w:tcBorders>
              <w:tl2br w:val="nil"/>
              <w:tr2bl w:val="nil"/>
            </w:tcBorders>
            <w:noWrap w:val="0"/>
            <w:vAlign w:val="center"/>
          </w:tcPr>
          <w:p w14:paraId="7D73BA3D">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630</w:t>
            </w:r>
          </w:p>
        </w:tc>
        <w:tc>
          <w:tcPr>
            <w:tcW w:w="1950" w:type="dxa"/>
            <w:tcBorders>
              <w:tl2br w:val="nil"/>
              <w:tr2bl w:val="nil"/>
            </w:tcBorders>
            <w:noWrap w:val="0"/>
            <w:vAlign w:val="center"/>
          </w:tcPr>
          <w:p w14:paraId="31B74B3D">
            <w:pPr>
              <w:widowControl/>
              <w:ind w:firstLine="0" w:firstLineChars="0"/>
              <w:jc w:val="center"/>
              <w:textAlignment w:val="center"/>
              <w:rPr>
                <w:rFonts w:ascii="Times New Roman" w:hAnsi="Times New Roman" w:eastAsia="方正仿宋_GBK" w:cs="Tahoma"/>
                <w:color w:val="000000"/>
                <w:kern w:val="0"/>
                <w:sz w:val="28"/>
                <w:szCs w:val="21"/>
              </w:rPr>
            </w:pPr>
          </w:p>
        </w:tc>
        <w:tc>
          <w:tcPr>
            <w:tcW w:w="1940" w:type="dxa"/>
            <w:tcBorders>
              <w:right w:val="single" w:color="auto" w:sz="4" w:space="0"/>
              <w:tl2br w:val="nil"/>
              <w:tr2bl w:val="nil"/>
            </w:tcBorders>
            <w:noWrap w:val="0"/>
            <w:vAlign w:val="center"/>
          </w:tcPr>
          <w:p w14:paraId="2B216157">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370</w:t>
            </w:r>
          </w:p>
        </w:tc>
      </w:tr>
      <w:tr w14:paraId="57059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1624" w:type="dxa"/>
            <w:tcBorders>
              <w:left w:val="single" w:color="auto" w:sz="4" w:space="0"/>
              <w:bottom w:val="single" w:color="auto" w:sz="4" w:space="0"/>
              <w:tl2br w:val="nil"/>
              <w:tr2bl w:val="nil"/>
            </w:tcBorders>
            <w:noWrap w:val="0"/>
            <w:vAlign w:val="center"/>
          </w:tcPr>
          <w:p w14:paraId="52307B51">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7</w:t>
            </w:r>
          </w:p>
        </w:tc>
        <w:tc>
          <w:tcPr>
            <w:tcW w:w="1745" w:type="dxa"/>
            <w:tcBorders>
              <w:bottom w:val="single" w:color="auto" w:sz="4" w:space="0"/>
              <w:tl2br w:val="nil"/>
              <w:tr2bl w:val="nil"/>
            </w:tcBorders>
            <w:noWrap w:val="0"/>
            <w:vAlign w:val="center"/>
          </w:tcPr>
          <w:p w14:paraId="4403306B">
            <w:pPr>
              <w:widowControl/>
              <w:ind w:firstLine="0" w:firstLineChars="0"/>
              <w:jc w:val="center"/>
              <w:textAlignment w:val="center"/>
              <w:rPr>
                <w:rFonts w:ascii="Times New Roman" w:hAnsi="Times New Roman" w:eastAsia="方正仿宋_GBK" w:cs="Tahoma"/>
                <w:color w:val="000000"/>
                <w:kern w:val="0"/>
                <w:sz w:val="28"/>
                <w:szCs w:val="21"/>
              </w:rPr>
            </w:pPr>
            <w:r>
              <w:rPr>
                <w:rFonts w:hint="eastAsia" w:ascii="Times New Roman" w:hAnsi="Times New Roman" w:eastAsia="方正仿宋_GBK" w:cs="Tahoma"/>
                <w:color w:val="000000"/>
                <w:kern w:val="0"/>
                <w:sz w:val="28"/>
                <w:szCs w:val="21"/>
              </w:rPr>
              <w:t>420</w:t>
            </w:r>
          </w:p>
        </w:tc>
        <w:tc>
          <w:tcPr>
            <w:tcW w:w="1801" w:type="dxa"/>
            <w:tcBorders>
              <w:bottom w:val="single" w:color="auto" w:sz="4" w:space="0"/>
              <w:tl2br w:val="nil"/>
              <w:tr2bl w:val="nil"/>
            </w:tcBorders>
            <w:noWrap w:val="0"/>
            <w:vAlign w:val="center"/>
          </w:tcPr>
          <w:p w14:paraId="5A8182C5">
            <w:pPr>
              <w:widowControl/>
              <w:ind w:firstLine="0" w:firstLineChars="0"/>
              <w:jc w:val="center"/>
              <w:textAlignment w:val="center"/>
              <w:rPr>
                <w:rFonts w:ascii="Times New Roman" w:hAnsi="Times New Roman" w:eastAsia="方正仿宋_GBK" w:cs="Tahoma"/>
                <w:color w:val="000000"/>
                <w:kern w:val="0"/>
                <w:sz w:val="28"/>
                <w:szCs w:val="21"/>
              </w:rPr>
            </w:pPr>
          </w:p>
        </w:tc>
        <w:tc>
          <w:tcPr>
            <w:tcW w:w="1950" w:type="dxa"/>
            <w:tcBorders>
              <w:bottom w:val="single" w:color="auto" w:sz="4" w:space="0"/>
              <w:tl2br w:val="nil"/>
              <w:tr2bl w:val="nil"/>
            </w:tcBorders>
            <w:noWrap w:val="0"/>
            <w:vAlign w:val="center"/>
          </w:tcPr>
          <w:p w14:paraId="0EAEE6D6">
            <w:pPr>
              <w:widowControl/>
              <w:ind w:firstLine="0" w:firstLineChars="0"/>
              <w:jc w:val="center"/>
              <w:textAlignment w:val="center"/>
              <w:rPr>
                <w:rFonts w:ascii="Times New Roman" w:hAnsi="Times New Roman" w:eastAsia="方正仿宋_GBK" w:cs="Tahoma"/>
                <w:color w:val="000000"/>
                <w:kern w:val="0"/>
                <w:sz w:val="28"/>
                <w:szCs w:val="21"/>
              </w:rPr>
            </w:pPr>
          </w:p>
        </w:tc>
        <w:tc>
          <w:tcPr>
            <w:tcW w:w="1940" w:type="dxa"/>
            <w:tcBorders>
              <w:bottom w:val="single" w:color="auto" w:sz="4" w:space="0"/>
              <w:right w:val="single" w:color="auto" w:sz="4" w:space="0"/>
              <w:tl2br w:val="nil"/>
              <w:tr2bl w:val="nil"/>
            </w:tcBorders>
            <w:noWrap w:val="0"/>
            <w:vAlign w:val="center"/>
          </w:tcPr>
          <w:p w14:paraId="1FEB12C0">
            <w:pPr>
              <w:widowControl/>
              <w:ind w:firstLine="0" w:firstLineChars="0"/>
              <w:jc w:val="center"/>
              <w:textAlignment w:val="center"/>
              <w:rPr>
                <w:rFonts w:ascii="Times New Roman" w:hAnsi="Times New Roman" w:eastAsia="方正仿宋_GBK" w:cs="Tahoma"/>
                <w:color w:val="000000"/>
                <w:kern w:val="0"/>
                <w:sz w:val="28"/>
                <w:szCs w:val="21"/>
              </w:rPr>
            </w:pPr>
          </w:p>
        </w:tc>
      </w:tr>
    </w:tbl>
    <w:p w14:paraId="4EC7A9DE">
      <w:pPr>
        <w:snapToGrid w:val="0"/>
        <w:spacing w:line="360" w:lineRule="auto"/>
        <w:jc w:val="left"/>
        <w:rPr>
          <w:rFonts w:hint="eastAsia" w:ascii="Times New Roman" w:hAnsi="Times New Roman" w:eastAsia="方正仿宋_GBK" w:cs="Tahoma"/>
          <w:color w:val="auto"/>
          <w:sz w:val="24"/>
          <w:szCs w:val="24"/>
        </w:rPr>
      </w:pPr>
      <w:r>
        <w:rPr>
          <w:rFonts w:hint="eastAsia" w:ascii="Times New Roman" w:hAnsi="Times New Roman" w:eastAsia="方正仿宋_GBK" w:cs="Tahoma"/>
          <w:color w:val="000000"/>
          <w:sz w:val="24"/>
          <w:szCs w:val="24"/>
        </w:rPr>
        <w:t>备注：</w:t>
      </w:r>
      <w:r>
        <w:rPr>
          <w:rFonts w:ascii="Times New Roman" w:hAnsi="Times New Roman" w:eastAsia="方正仿宋_GBK" w:cs="Tahoma"/>
          <w:color w:val="auto"/>
          <w:sz w:val="24"/>
          <w:szCs w:val="24"/>
        </w:rPr>
        <w:t>1.</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z w:val="24"/>
          <w:szCs w:val="24"/>
        </w:rPr>
        <w:t>基准地价是在城镇不同级别、不同用途、设定容积率和土地开发程度下，某</w:t>
      </w:r>
    </w:p>
    <w:p w14:paraId="5E8A1C37">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1032" w:firstLineChars="430"/>
        <w:jc w:val="left"/>
        <w:textAlignment w:val="auto"/>
        <w:outlineLvl w:val="9"/>
        <w:rPr>
          <w:rFonts w:hint="eastAsia" w:ascii="Times New Roman" w:hAnsi="Times New Roman" w:eastAsia="方正仿宋_GBK" w:cs="Tahoma"/>
          <w:color w:val="auto"/>
          <w:sz w:val="24"/>
          <w:szCs w:val="24"/>
        </w:rPr>
      </w:pPr>
      <w:r>
        <w:rPr>
          <w:rFonts w:hint="eastAsia" w:ascii="Times New Roman" w:hAnsi="Times New Roman" w:eastAsia="方正仿宋_GBK" w:cs="Tahoma"/>
          <w:color w:val="auto"/>
          <w:sz w:val="24"/>
          <w:szCs w:val="24"/>
        </w:rPr>
        <w:t>一估价期日法定最高使用年期出让国有建设用地使用权的区域平均价格。</w:t>
      </w:r>
    </w:p>
    <w:p w14:paraId="3618798C">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720" w:firstLineChars="300"/>
        <w:jc w:val="left"/>
        <w:textAlignment w:val="auto"/>
        <w:outlineLvl w:val="9"/>
        <w:rPr>
          <w:rFonts w:hint="eastAsia" w:ascii="Times New Roman" w:hAnsi="Times New Roman" w:eastAsia="方正仿宋_GBK" w:cs="Tahoma"/>
          <w:color w:val="auto"/>
          <w:sz w:val="24"/>
          <w:szCs w:val="24"/>
        </w:rPr>
      </w:pPr>
      <w:r>
        <w:rPr>
          <w:rFonts w:ascii="Times New Roman" w:hAnsi="Times New Roman" w:eastAsia="方正仿宋_GBK" w:cs="Tahoma"/>
          <w:color w:val="auto"/>
          <w:sz w:val="24"/>
          <w:szCs w:val="24"/>
        </w:rPr>
        <w:t>2.</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z w:val="24"/>
          <w:szCs w:val="24"/>
        </w:rPr>
        <w:t>基准地价表现形式为楼面地价。</w:t>
      </w:r>
    </w:p>
    <w:p w14:paraId="20095D66">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720" w:firstLineChars="300"/>
        <w:jc w:val="left"/>
        <w:textAlignment w:val="auto"/>
        <w:outlineLvl w:val="9"/>
        <w:rPr>
          <w:rFonts w:hint="eastAsia" w:ascii="Times New Roman" w:hAnsi="Times New Roman" w:eastAsia="方正仿宋_GBK" w:cs="Tahoma"/>
          <w:color w:val="auto"/>
          <w:sz w:val="24"/>
          <w:szCs w:val="24"/>
        </w:rPr>
      </w:pPr>
      <w:r>
        <w:rPr>
          <w:rFonts w:ascii="Times New Roman" w:hAnsi="Times New Roman" w:eastAsia="方正仿宋_GBK" w:cs="Tahoma"/>
          <w:color w:val="auto"/>
          <w:sz w:val="24"/>
          <w:szCs w:val="24"/>
        </w:rPr>
        <w:t>3.</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z w:val="24"/>
          <w:szCs w:val="24"/>
        </w:rPr>
        <w:t>基准地价期日为</w:t>
      </w:r>
      <w:r>
        <w:rPr>
          <w:rFonts w:ascii="Times New Roman" w:hAnsi="Times New Roman" w:eastAsia="方正仿宋_GBK" w:cs="Tahoma"/>
          <w:color w:val="auto"/>
          <w:sz w:val="24"/>
          <w:szCs w:val="24"/>
        </w:rPr>
        <w:t>202</w:t>
      </w:r>
      <w:r>
        <w:rPr>
          <w:rFonts w:hint="eastAsia" w:ascii="Times New Roman" w:hAnsi="Times New Roman" w:eastAsia="方正仿宋_GBK" w:cs="Tahoma"/>
          <w:color w:val="auto"/>
          <w:sz w:val="24"/>
          <w:szCs w:val="24"/>
        </w:rPr>
        <w:t>1</w:t>
      </w:r>
      <w:r>
        <w:rPr>
          <w:rFonts w:ascii="Times New Roman" w:hAnsi="Times New Roman" w:eastAsia="方正仿宋_GBK" w:cs="Tahoma"/>
          <w:color w:val="auto"/>
          <w:sz w:val="24"/>
          <w:szCs w:val="24"/>
        </w:rPr>
        <w:t>年1月1日</w:t>
      </w:r>
      <w:r>
        <w:rPr>
          <w:rFonts w:hint="eastAsia" w:ascii="Times New Roman" w:hAnsi="Times New Roman" w:eastAsia="方正仿宋_GBK" w:cs="Tahoma"/>
          <w:color w:val="auto"/>
          <w:sz w:val="24"/>
          <w:szCs w:val="24"/>
        </w:rPr>
        <w:t>。</w:t>
      </w:r>
    </w:p>
    <w:p w14:paraId="4819F839">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720" w:firstLineChars="300"/>
        <w:jc w:val="left"/>
        <w:textAlignment w:val="auto"/>
        <w:outlineLvl w:val="9"/>
        <w:rPr>
          <w:rFonts w:hint="eastAsia" w:ascii="Times New Roman" w:hAnsi="Times New Roman" w:eastAsia="方正仿宋_GBK" w:cs="Tahoma"/>
          <w:color w:val="auto"/>
          <w:spacing w:val="-11"/>
          <w:sz w:val="24"/>
          <w:szCs w:val="24"/>
        </w:rPr>
      </w:pPr>
      <w:r>
        <w:rPr>
          <w:rFonts w:ascii="Times New Roman" w:hAnsi="Times New Roman" w:eastAsia="方正仿宋_GBK" w:cs="Tahoma"/>
          <w:color w:val="auto"/>
          <w:sz w:val="24"/>
          <w:szCs w:val="24"/>
        </w:rPr>
        <w:t>4.</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pacing w:val="-11"/>
          <w:sz w:val="24"/>
          <w:szCs w:val="24"/>
        </w:rPr>
        <w:t>基准地价对应的使用年限为商服</w:t>
      </w:r>
      <w:r>
        <w:rPr>
          <w:rFonts w:ascii="Times New Roman" w:hAnsi="Times New Roman" w:eastAsia="方正仿宋_GBK" w:cs="Tahoma"/>
          <w:color w:val="auto"/>
          <w:spacing w:val="-11"/>
          <w:sz w:val="24"/>
          <w:szCs w:val="24"/>
        </w:rPr>
        <w:t>40</w:t>
      </w:r>
      <w:r>
        <w:rPr>
          <w:rFonts w:hint="eastAsia" w:ascii="Times New Roman" w:hAnsi="Times New Roman" w:eastAsia="方正仿宋_GBK" w:cs="Tahoma"/>
          <w:color w:val="auto"/>
          <w:spacing w:val="-11"/>
          <w:sz w:val="24"/>
          <w:szCs w:val="24"/>
        </w:rPr>
        <w:t>年、住宅</w:t>
      </w:r>
      <w:r>
        <w:rPr>
          <w:rFonts w:ascii="Times New Roman" w:hAnsi="Times New Roman" w:eastAsia="方正仿宋_GBK" w:cs="Tahoma"/>
          <w:color w:val="auto"/>
          <w:spacing w:val="-11"/>
          <w:sz w:val="24"/>
          <w:szCs w:val="24"/>
        </w:rPr>
        <w:t>70</w:t>
      </w:r>
      <w:r>
        <w:rPr>
          <w:rFonts w:hint="eastAsia" w:ascii="Times New Roman" w:hAnsi="Times New Roman" w:eastAsia="方正仿宋_GBK" w:cs="Tahoma"/>
          <w:color w:val="auto"/>
          <w:spacing w:val="-11"/>
          <w:sz w:val="24"/>
          <w:szCs w:val="24"/>
        </w:rPr>
        <w:t>年、工矿仓储</w:t>
      </w:r>
      <w:r>
        <w:rPr>
          <w:rFonts w:ascii="Times New Roman" w:hAnsi="Times New Roman" w:eastAsia="方正仿宋_GBK" w:cs="Tahoma"/>
          <w:color w:val="auto"/>
          <w:spacing w:val="-11"/>
          <w:sz w:val="24"/>
          <w:szCs w:val="24"/>
        </w:rPr>
        <w:t>50</w:t>
      </w:r>
      <w:r>
        <w:rPr>
          <w:rFonts w:hint="eastAsia" w:ascii="Times New Roman" w:hAnsi="Times New Roman" w:eastAsia="方正仿宋_GBK" w:cs="Tahoma"/>
          <w:color w:val="auto"/>
          <w:spacing w:val="-11"/>
          <w:sz w:val="24"/>
          <w:szCs w:val="24"/>
        </w:rPr>
        <w:t>年、公服50年。</w:t>
      </w:r>
    </w:p>
    <w:p w14:paraId="7EBE6867">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720" w:firstLineChars="300"/>
        <w:jc w:val="left"/>
        <w:textAlignment w:val="auto"/>
        <w:outlineLvl w:val="9"/>
        <w:rPr>
          <w:rFonts w:hint="eastAsia" w:ascii="Times New Roman" w:hAnsi="Times New Roman" w:eastAsia="方正仿宋_GBK" w:cs="Tahoma"/>
          <w:color w:val="auto"/>
          <w:sz w:val="24"/>
          <w:szCs w:val="24"/>
        </w:rPr>
      </w:pPr>
      <w:r>
        <w:rPr>
          <w:rFonts w:ascii="Times New Roman" w:hAnsi="Times New Roman" w:eastAsia="方正仿宋_GBK" w:cs="Tahoma"/>
          <w:color w:val="auto"/>
          <w:sz w:val="24"/>
          <w:szCs w:val="24"/>
        </w:rPr>
        <w:t>5.</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z w:val="24"/>
          <w:szCs w:val="24"/>
        </w:rPr>
        <w:t>基准地价对应的容积率为商服2.5、住宅</w:t>
      </w:r>
      <w:r>
        <w:rPr>
          <w:rFonts w:ascii="Times New Roman" w:hAnsi="Times New Roman" w:eastAsia="方正仿宋_GBK" w:cs="Tahoma"/>
          <w:color w:val="auto"/>
          <w:sz w:val="24"/>
          <w:szCs w:val="24"/>
        </w:rPr>
        <w:t>2.0</w:t>
      </w:r>
      <w:r>
        <w:rPr>
          <w:rFonts w:hint="eastAsia" w:ascii="Times New Roman" w:hAnsi="Times New Roman" w:eastAsia="方正仿宋_GBK" w:cs="Tahoma"/>
          <w:color w:val="auto"/>
          <w:sz w:val="24"/>
          <w:szCs w:val="24"/>
        </w:rPr>
        <w:t>、工矿仓储</w:t>
      </w:r>
      <w:r>
        <w:rPr>
          <w:rFonts w:ascii="Times New Roman" w:hAnsi="Times New Roman" w:eastAsia="方正仿宋_GBK" w:cs="Tahoma"/>
          <w:color w:val="auto"/>
          <w:sz w:val="24"/>
          <w:szCs w:val="24"/>
        </w:rPr>
        <w:t>1.0</w:t>
      </w:r>
      <w:r>
        <w:rPr>
          <w:rFonts w:hint="eastAsia" w:ascii="Times New Roman" w:hAnsi="Times New Roman" w:eastAsia="方正仿宋_GBK" w:cs="Tahoma"/>
          <w:color w:val="auto"/>
          <w:sz w:val="24"/>
          <w:szCs w:val="24"/>
        </w:rPr>
        <w:t>、公服1.5。</w:t>
      </w:r>
    </w:p>
    <w:p w14:paraId="6DD53F90">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720" w:firstLineChars="300"/>
        <w:jc w:val="left"/>
        <w:textAlignment w:val="auto"/>
        <w:outlineLvl w:val="9"/>
        <w:rPr>
          <w:rFonts w:hint="eastAsia" w:ascii="Times New Roman" w:hAnsi="Times New Roman" w:eastAsia="方正仿宋_GBK" w:cs="Tahoma"/>
          <w:color w:val="auto"/>
          <w:sz w:val="24"/>
          <w:szCs w:val="24"/>
        </w:rPr>
      </w:pPr>
      <w:r>
        <w:rPr>
          <w:rFonts w:ascii="Times New Roman" w:hAnsi="Times New Roman" w:eastAsia="方正仿宋_GBK" w:cs="Tahoma"/>
          <w:color w:val="auto"/>
          <w:sz w:val="24"/>
          <w:szCs w:val="24"/>
        </w:rPr>
        <w:t>6.</w:t>
      </w:r>
      <w:r>
        <w:rPr>
          <w:rFonts w:hint="eastAsia" w:ascii="Times New Roman" w:hAnsi="Times New Roman" w:eastAsia="方正仿宋_GBK" w:cs="Tahoma"/>
          <w:color w:val="auto"/>
          <w:sz w:val="24"/>
          <w:szCs w:val="24"/>
          <w:lang w:val="en-US" w:eastAsia="zh-CN"/>
        </w:rPr>
        <w:t xml:space="preserve"> </w:t>
      </w:r>
      <w:r>
        <w:rPr>
          <w:rFonts w:hint="eastAsia" w:ascii="Times New Roman" w:hAnsi="Times New Roman" w:eastAsia="方正仿宋_GBK" w:cs="Tahoma"/>
          <w:color w:val="auto"/>
          <w:sz w:val="24"/>
          <w:szCs w:val="24"/>
        </w:rPr>
        <w:t>商服、住宅、公共管理与公共服务用地开发程度为“六通一平”，指宗地外</w:t>
      </w:r>
    </w:p>
    <w:p w14:paraId="551A186A">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1032" w:firstLineChars="430"/>
        <w:jc w:val="left"/>
        <w:textAlignment w:val="auto"/>
        <w:outlineLvl w:val="9"/>
        <w:rPr>
          <w:rFonts w:hint="eastAsia" w:ascii="Times New Roman" w:hAnsi="Times New Roman" w:eastAsia="方正仿宋_GBK" w:cs="Tahoma"/>
          <w:color w:val="auto"/>
          <w:sz w:val="24"/>
          <w:szCs w:val="24"/>
        </w:rPr>
      </w:pPr>
      <w:r>
        <w:rPr>
          <w:rFonts w:hint="eastAsia" w:ascii="Times New Roman" w:hAnsi="Times New Roman" w:eastAsia="方正仿宋_GBK" w:cs="Tahoma"/>
          <w:color w:val="auto"/>
          <w:sz w:val="24"/>
          <w:szCs w:val="24"/>
        </w:rPr>
        <w:t>通路、通电、通讯、通上水、通下水、通燃气及宗地内场地平整；工矿仓储</w:t>
      </w:r>
    </w:p>
    <w:p w14:paraId="3D48E740">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1032" w:firstLineChars="430"/>
        <w:jc w:val="left"/>
        <w:textAlignment w:val="auto"/>
        <w:outlineLvl w:val="9"/>
        <w:rPr>
          <w:rFonts w:hint="eastAsia" w:ascii="Times New Roman" w:hAnsi="Times New Roman" w:eastAsia="方正仿宋_GBK" w:cs="Tahoma"/>
          <w:color w:val="auto"/>
          <w:sz w:val="24"/>
          <w:szCs w:val="24"/>
        </w:rPr>
      </w:pPr>
      <w:r>
        <w:rPr>
          <w:rFonts w:hint="eastAsia" w:ascii="Times New Roman" w:hAnsi="Times New Roman" w:eastAsia="方正仿宋_GBK" w:cs="Tahoma"/>
          <w:color w:val="auto"/>
          <w:sz w:val="24"/>
          <w:szCs w:val="24"/>
        </w:rPr>
        <w:t>用地开发程度为“五通一平”，指宗地外通路、通电、通讯、通上水、通下</w:t>
      </w:r>
    </w:p>
    <w:p w14:paraId="2939DD17">
      <w:pPr>
        <w:keepNext w:val="0"/>
        <w:keepLines w:val="0"/>
        <w:pageBreakBefore w:val="0"/>
        <w:widowControl/>
        <w:kinsoku/>
        <w:wordWrap/>
        <w:overflowPunct/>
        <w:topLinePunct w:val="0"/>
        <w:autoSpaceDE/>
        <w:autoSpaceDN/>
        <w:bidi w:val="0"/>
        <w:adjustRightInd/>
        <w:snapToGrid w:val="0"/>
        <w:spacing w:before="0" w:beforeLines="0" w:after="0" w:afterLines="0" w:line="360" w:lineRule="auto"/>
        <w:ind w:left="0" w:leftChars="0" w:right="0" w:rightChars="0" w:firstLine="1032" w:firstLineChars="430"/>
        <w:jc w:val="left"/>
        <w:textAlignment w:val="auto"/>
        <w:outlineLvl w:val="9"/>
        <w:rPr>
          <w:rFonts w:ascii="Times New Roman" w:hAnsi="Times New Roman" w:eastAsia="仿宋" w:cs="Tahoma"/>
          <w:color w:val="000000"/>
          <w:sz w:val="18"/>
          <w:szCs w:val="18"/>
        </w:rPr>
      </w:pPr>
      <w:r>
        <w:rPr>
          <w:rFonts w:hint="eastAsia" w:ascii="Times New Roman" w:hAnsi="Times New Roman" w:eastAsia="方正仿宋_GBK" w:cs="Tahoma"/>
          <w:color w:val="auto"/>
          <w:sz w:val="24"/>
          <w:szCs w:val="24"/>
        </w:rPr>
        <w:t>水及宗地内场地平整。</w:t>
      </w:r>
    </w:p>
    <w:p w14:paraId="6B82C5C4">
      <w:pPr>
        <w:keepNext w:val="0"/>
        <w:keepLines w:val="0"/>
        <w:pageBreakBefore w:val="0"/>
        <w:widowControl w:val="0"/>
        <w:shd w:val="clear" w:color="auto" w:fill="FFFFFF"/>
        <w:kinsoku/>
        <w:wordWrap/>
        <w:overflowPunct/>
        <w:topLinePunct w:val="0"/>
        <w:autoSpaceDE/>
        <w:autoSpaceDN/>
        <w:bidi w:val="0"/>
        <w:adjustRightInd/>
        <w:snapToGrid/>
        <w:spacing w:line="600" w:lineRule="exact"/>
        <w:textAlignment w:val="auto"/>
        <w:rPr>
          <w:rFonts w:hint="eastAsia" w:ascii="Times New Roman" w:hAnsi="Times New Roman" w:eastAsia="方正黑体_GBK" w:cs="Times New Roman"/>
          <w:sz w:val="32"/>
          <w:szCs w:val="20"/>
          <w:lang w:val="en-US" w:eastAsia="zh-CN"/>
        </w:rPr>
      </w:pPr>
      <w:r>
        <w:rPr>
          <w:rFonts w:hint="eastAsia" w:ascii="Times New Roman" w:hAnsi="Times New Roman" w:eastAsia="方正黑体_GBK" w:cs="Times New Roman"/>
          <w:sz w:val="32"/>
          <w:szCs w:val="20"/>
        </w:rPr>
        <w:t>附件</w:t>
      </w:r>
      <w:r>
        <w:rPr>
          <w:rFonts w:hint="eastAsia" w:ascii="Times New Roman" w:hAnsi="Times New Roman" w:eastAsia="方正黑体_GBK" w:cs="Times New Roman"/>
          <w:sz w:val="32"/>
          <w:szCs w:val="20"/>
          <w:lang w:val="en-US" w:eastAsia="zh-CN"/>
        </w:rPr>
        <w:t>2</w:t>
      </w:r>
    </w:p>
    <w:p w14:paraId="65B67387">
      <w:pPr>
        <w:pStyle w:val="2"/>
      </w:pPr>
    </w:p>
    <w:p w14:paraId="594BEF4F">
      <w:pPr>
        <w:keepNext w:val="0"/>
        <w:keepLines w:val="0"/>
        <w:pageBreakBefore w:val="0"/>
        <w:widowControl w:val="0"/>
        <w:shd w:val="clear" w:color="auto" w:fill="FFFFFF"/>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长寿区城镇土地级别册</w:t>
      </w:r>
    </w:p>
    <w:p w14:paraId="3D30BC6A">
      <w:pPr>
        <w:pStyle w:val="2"/>
        <w:keepNext w:val="0"/>
        <w:keepLines w:val="0"/>
        <w:pageBreakBefore w:val="0"/>
        <w:widowControl w:val="0"/>
        <w:kinsoku/>
        <w:wordWrap/>
        <w:overflowPunct/>
        <w:topLinePunct w:val="0"/>
        <w:bidi w:val="0"/>
        <w:snapToGrid/>
        <w:spacing w:line="600" w:lineRule="exact"/>
        <w:textAlignment w:val="auto"/>
        <w:rPr>
          <w:rFonts w:hint="eastAsia"/>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2"/>
        <w:gridCol w:w="870"/>
        <w:gridCol w:w="1125"/>
        <w:gridCol w:w="1050"/>
        <w:gridCol w:w="933"/>
      </w:tblGrid>
      <w:tr w14:paraId="299C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blHeader/>
          <w:jc w:val="center"/>
        </w:trPr>
        <w:tc>
          <w:tcPr>
            <w:tcW w:w="5082" w:type="dxa"/>
            <w:noWrap w:val="0"/>
            <w:vAlign w:val="center"/>
          </w:tcPr>
          <w:p w14:paraId="07B79763">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土地坐落</w:t>
            </w:r>
          </w:p>
        </w:tc>
        <w:tc>
          <w:tcPr>
            <w:tcW w:w="870" w:type="dxa"/>
            <w:noWrap w:val="0"/>
            <w:vAlign w:val="center"/>
          </w:tcPr>
          <w:p w14:paraId="269EBC31">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hint="eastAsia"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商</w:t>
            </w:r>
            <w:r>
              <w:rPr>
                <w:rFonts w:hint="eastAsia" w:ascii="Times New Roman" w:hAnsi="Times New Roman" w:eastAsia="方正仿宋_GBK" w:cs="宋体"/>
                <w:b w:val="0"/>
                <w:bCs w:val="0"/>
                <w:kern w:val="0"/>
                <w:sz w:val="24"/>
                <w:szCs w:val="24"/>
                <w:lang w:eastAsia="zh-CN"/>
              </w:rPr>
              <w:t>服</w:t>
            </w:r>
          </w:p>
          <w:p w14:paraId="69F58E11">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级别</w:t>
            </w:r>
          </w:p>
        </w:tc>
        <w:tc>
          <w:tcPr>
            <w:tcW w:w="1125" w:type="dxa"/>
            <w:noWrap w:val="0"/>
            <w:vAlign w:val="top"/>
          </w:tcPr>
          <w:p w14:paraId="6D6272BB">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hint="eastAsia"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公共管理与公共服务级别</w:t>
            </w:r>
          </w:p>
        </w:tc>
        <w:tc>
          <w:tcPr>
            <w:tcW w:w="1050" w:type="dxa"/>
            <w:noWrap w:val="0"/>
            <w:vAlign w:val="center"/>
          </w:tcPr>
          <w:p w14:paraId="15365400">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hint="eastAsia"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住宅</w:t>
            </w:r>
          </w:p>
          <w:p w14:paraId="38229495">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级别</w:t>
            </w:r>
          </w:p>
        </w:tc>
        <w:tc>
          <w:tcPr>
            <w:tcW w:w="933" w:type="dxa"/>
            <w:noWrap w:val="0"/>
            <w:vAlign w:val="center"/>
          </w:tcPr>
          <w:p w14:paraId="54711C84">
            <w:pPr>
              <w:keepNext w:val="0"/>
              <w:keepLines w:val="0"/>
              <w:pageBreakBefore w:val="0"/>
              <w:widowControl/>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outlineLvl w:val="9"/>
              <w:rPr>
                <w:rFonts w:ascii="Times New Roman" w:hAnsi="Times New Roman" w:eastAsia="方正仿宋_GBK" w:cs="宋体"/>
                <w:b w:val="0"/>
                <w:bCs w:val="0"/>
                <w:kern w:val="0"/>
                <w:sz w:val="24"/>
                <w:szCs w:val="24"/>
              </w:rPr>
            </w:pPr>
            <w:r>
              <w:rPr>
                <w:rFonts w:hint="eastAsia" w:ascii="Times New Roman" w:hAnsi="Times New Roman" w:eastAsia="方正仿宋_GBK" w:cs="宋体"/>
                <w:b w:val="0"/>
                <w:bCs w:val="0"/>
                <w:kern w:val="0"/>
                <w:sz w:val="24"/>
                <w:szCs w:val="24"/>
              </w:rPr>
              <w:t>工矿仓储级别</w:t>
            </w:r>
          </w:p>
        </w:tc>
      </w:tr>
      <w:tr w14:paraId="076E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082" w:type="dxa"/>
            <w:noWrap w:val="0"/>
            <w:vAlign w:val="center"/>
          </w:tcPr>
          <w:p w14:paraId="744B53F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桃花新城商业中心区域：桃源西一路、桃源北一路、桃源南一路、桃源东一路之间的区域</w:t>
            </w:r>
          </w:p>
        </w:tc>
        <w:tc>
          <w:tcPr>
            <w:tcW w:w="870" w:type="dxa"/>
            <w:noWrap w:val="0"/>
            <w:vAlign w:val="center"/>
          </w:tcPr>
          <w:p w14:paraId="531C794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1125" w:type="dxa"/>
            <w:noWrap w:val="0"/>
            <w:vAlign w:val="center"/>
          </w:tcPr>
          <w:p w14:paraId="26B17C2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1050" w:type="dxa"/>
            <w:noWrap w:val="0"/>
            <w:vAlign w:val="center"/>
          </w:tcPr>
          <w:p w14:paraId="2778F1C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933" w:type="dxa"/>
            <w:noWrap w:val="0"/>
            <w:vAlign w:val="center"/>
          </w:tcPr>
          <w:p w14:paraId="64A7298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r>
      <w:tr w14:paraId="21EC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082" w:type="dxa"/>
            <w:noWrap w:val="0"/>
            <w:vAlign w:val="center"/>
          </w:tcPr>
          <w:p w14:paraId="528767B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长寿广场片区：向阳路——向阳路——长寿路之间的区域</w:t>
            </w:r>
          </w:p>
        </w:tc>
        <w:tc>
          <w:tcPr>
            <w:tcW w:w="870" w:type="dxa"/>
            <w:noWrap w:val="0"/>
            <w:vAlign w:val="center"/>
          </w:tcPr>
          <w:p w14:paraId="482E0F7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1125" w:type="dxa"/>
            <w:noWrap w:val="0"/>
            <w:vAlign w:val="center"/>
          </w:tcPr>
          <w:p w14:paraId="6E4E68C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1050" w:type="dxa"/>
            <w:noWrap w:val="0"/>
            <w:vAlign w:val="center"/>
          </w:tcPr>
          <w:p w14:paraId="2DFBD67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1</w:t>
            </w:r>
          </w:p>
        </w:tc>
        <w:tc>
          <w:tcPr>
            <w:tcW w:w="933" w:type="dxa"/>
            <w:noWrap w:val="0"/>
            <w:vAlign w:val="center"/>
          </w:tcPr>
          <w:p w14:paraId="67E1C09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1D63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082" w:type="dxa"/>
            <w:noWrap w:val="0"/>
            <w:vAlign w:val="center"/>
          </w:tcPr>
          <w:p w14:paraId="14EED72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望江路片区：长寿路（与向阳路西段交叉口至烟草公司）、望江支路、望江路、汪家湾、火神街、供电局、烟草公司等</w:t>
            </w:r>
          </w:p>
        </w:tc>
        <w:tc>
          <w:tcPr>
            <w:tcW w:w="870" w:type="dxa"/>
            <w:noWrap w:val="0"/>
            <w:vAlign w:val="center"/>
          </w:tcPr>
          <w:p w14:paraId="6D9D47D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3C6276A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6D17FCB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2BF57D2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4A2E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082" w:type="dxa"/>
            <w:noWrap w:val="0"/>
            <w:vAlign w:val="center"/>
          </w:tcPr>
          <w:p w14:paraId="1DE616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林庄片区：长寿路（与向阳路东段交叉口起至西门转盘）、凤岭路、林庄口、实验一小、陈家坡、邓家巷、字库巷、沙井市场等</w:t>
            </w:r>
          </w:p>
        </w:tc>
        <w:tc>
          <w:tcPr>
            <w:tcW w:w="870" w:type="dxa"/>
            <w:noWrap w:val="0"/>
            <w:vAlign w:val="center"/>
          </w:tcPr>
          <w:p w14:paraId="40E25EB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380273C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6165119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2B4A85F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056A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5082" w:type="dxa"/>
            <w:noWrap w:val="0"/>
            <w:vAlign w:val="center"/>
          </w:tcPr>
          <w:p w14:paraId="653D4E2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校园路片区：校园路、校骑路、凤岭路以南与校骑路之间的区域、黄家狮子口、伟达小区、林庄锦园、武装部、行知学校等</w:t>
            </w:r>
          </w:p>
        </w:tc>
        <w:tc>
          <w:tcPr>
            <w:tcW w:w="870" w:type="dxa"/>
            <w:noWrap w:val="0"/>
            <w:vAlign w:val="center"/>
          </w:tcPr>
          <w:p w14:paraId="3135E02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4F657E6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6CC96A1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1C0F1F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6E05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5082" w:type="dxa"/>
            <w:noWrap w:val="0"/>
            <w:vAlign w:val="center"/>
          </w:tcPr>
          <w:p w14:paraId="4937664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骑鞍片区：骑鞍街、兴学园、金山街、群力街、北门口等</w:t>
            </w:r>
          </w:p>
        </w:tc>
        <w:tc>
          <w:tcPr>
            <w:tcW w:w="870" w:type="dxa"/>
            <w:noWrap w:val="0"/>
            <w:vAlign w:val="center"/>
          </w:tcPr>
          <w:p w14:paraId="1B3CA83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724CC43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45F2A79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6A4B0B9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585E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082" w:type="dxa"/>
            <w:noWrap w:val="0"/>
            <w:vAlign w:val="center"/>
          </w:tcPr>
          <w:p w14:paraId="0801BB6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西门片区：西门转盘至园丁路与云峰寺公园之间区域，包括西城花园、瑞凤苑等</w:t>
            </w:r>
          </w:p>
        </w:tc>
        <w:tc>
          <w:tcPr>
            <w:tcW w:w="870" w:type="dxa"/>
            <w:noWrap w:val="0"/>
            <w:vAlign w:val="center"/>
          </w:tcPr>
          <w:p w14:paraId="7A2A988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6E7C195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1C17E0A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29508FA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5DC7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5082" w:type="dxa"/>
            <w:noWrap w:val="0"/>
            <w:vAlign w:val="center"/>
          </w:tcPr>
          <w:p w14:paraId="3D1F5FC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黄桷湾片区：长寿路与平湖路至凤中路之间的区域，包括三峡路、创业路、创业街、青龙岭、黄桷湾隧道、客车站、凤中路、兴民路、黄东街一巷、黄东路、兴隆路、凤园路、园丁路（西门转盘至平湖路口）、供电局家属区、区医院等</w:t>
            </w:r>
          </w:p>
        </w:tc>
        <w:tc>
          <w:tcPr>
            <w:tcW w:w="870" w:type="dxa"/>
            <w:noWrap w:val="0"/>
            <w:vAlign w:val="center"/>
          </w:tcPr>
          <w:p w14:paraId="1E798C8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292FA49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268A4B5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760FEC0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51DD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082" w:type="dxa"/>
            <w:noWrap w:val="0"/>
            <w:vAlign w:val="center"/>
          </w:tcPr>
          <w:p w14:paraId="4C910A1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桃花大道片区：桃花大道两侧、金山街一巷、狮龙花园、天</w:t>
            </w:r>
            <w:r>
              <w:rPr>
                <w:rFonts w:hint="eastAsia" w:ascii="Times New Roman" w:hAnsi="Times New Roman" w:eastAsia="方正仿宋_GBK" w:cs="Tahoma"/>
                <w:kern w:val="0"/>
                <w:sz w:val="24"/>
                <w:szCs w:val="18"/>
                <w:lang w:eastAsia="zh-CN"/>
              </w:rPr>
              <w:t>然</w:t>
            </w:r>
            <w:r>
              <w:rPr>
                <w:rFonts w:hint="eastAsia" w:ascii="Times New Roman" w:hAnsi="Times New Roman" w:eastAsia="方正仿宋_GBK" w:cs="Tahoma"/>
                <w:kern w:val="0"/>
                <w:sz w:val="24"/>
                <w:szCs w:val="18"/>
              </w:rPr>
              <w:t>气净化总厂家属区等</w:t>
            </w:r>
          </w:p>
        </w:tc>
        <w:tc>
          <w:tcPr>
            <w:tcW w:w="870" w:type="dxa"/>
            <w:noWrap w:val="0"/>
            <w:vAlign w:val="center"/>
          </w:tcPr>
          <w:p w14:paraId="13178D7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67B7B50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6BEC950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60DE1B3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4FD5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5082" w:type="dxa"/>
            <w:noWrap w:val="0"/>
            <w:vAlign w:val="center"/>
          </w:tcPr>
          <w:p w14:paraId="1C65664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桃花西路片区：桃花西路、桃花西支路、东方之骄、泊景湾、香山美地等</w:t>
            </w:r>
          </w:p>
        </w:tc>
        <w:tc>
          <w:tcPr>
            <w:tcW w:w="870" w:type="dxa"/>
            <w:noWrap w:val="0"/>
            <w:vAlign w:val="center"/>
          </w:tcPr>
          <w:p w14:paraId="7555B2D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3940350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10F8CD5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559A387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6A51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082" w:type="dxa"/>
            <w:noWrap w:val="0"/>
            <w:vAlign w:val="center"/>
          </w:tcPr>
          <w:p w14:paraId="4FC11C5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圣天片区：桃源东一路至桃花溪之间的区域、桃源北一路、桃源北二路、桃源支路、圣天湖小区、重钢朵力小区等</w:t>
            </w:r>
          </w:p>
        </w:tc>
        <w:tc>
          <w:tcPr>
            <w:tcW w:w="870" w:type="dxa"/>
            <w:noWrap w:val="0"/>
            <w:vAlign w:val="center"/>
          </w:tcPr>
          <w:p w14:paraId="1A38CE3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56E67FF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0B3C89D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7F279B8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0A167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108D8ED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行政中心区域：区政府广场、桃源西路、桃花公园等</w:t>
            </w:r>
          </w:p>
        </w:tc>
        <w:tc>
          <w:tcPr>
            <w:tcW w:w="870" w:type="dxa"/>
            <w:noWrap w:val="0"/>
            <w:vAlign w:val="center"/>
          </w:tcPr>
          <w:p w14:paraId="3397277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4601DB7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5C93C58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088D845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46F7C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5082" w:type="dxa"/>
            <w:noWrap w:val="0"/>
            <w:vAlign w:val="center"/>
          </w:tcPr>
          <w:p w14:paraId="07639FB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金科</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世界城及美丽</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泽京片区：桃源西一路至桃源西三路之间的区域，包括桃源西一路、桃源西二路、桃源西三路、桃兴路（桃源大道路口至桃源西三路路口</w:t>
            </w:r>
            <w:bookmarkStart w:id="4" w:name="_GoBack"/>
            <w:bookmarkEnd w:id="4"/>
            <w:r>
              <w:rPr>
                <w:rFonts w:hint="eastAsia" w:ascii="Times New Roman" w:hAnsi="Times New Roman" w:eastAsia="方正仿宋_GBK" w:cs="仿宋"/>
                <w:kern w:val="0"/>
                <w:sz w:val="24"/>
                <w:szCs w:val="18"/>
              </w:rPr>
              <w:t>）、桃兴一路、桃兴二路、桃兴三路、金科</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世界城、中央公园、美丽</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泽京、菩提印象等</w:t>
            </w:r>
          </w:p>
        </w:tc>
        <w:tc>
          <w:tcPr>
            <w:tcW w:w="870" w:type="dxa"/>
            <w:noWrap w:val="0"/>
            <w:vAlign w:val="center"/>
          </w:tcPr>
          <w:p w14:paraId="7409D96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6EA40BB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404B243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3D6845A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3F6C1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5082" w:type="dxa"/>
            <w:noWrap w:val="0"/>
            <w:vAlign w:val="center"/>
          </w:tcPr>
          <w:p w14:paraId="17A3087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菩提社区片区：金科</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阳光小镇、新康</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璞山、东海假日花园、北城中学、晶山新城际、民生佳苑公租房等</w:t>
            </w:r>
          </w:p>
        </w:tc>
        <w:tc>
          <w:tcPr>
            <w:tcW w:w="870" w:type="dxa"/>
            <w:noWrap w:val="0"/>
            <w:vAlign w:val="center"/>
          </w:tcPr>
          <w:p w14:paraId="03451CA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0B99664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28F22EC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358BFEF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7379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082" w:type="dxa"/>
            <w:noWrap w:val="0"/>
            <w:vAlign w:val="center"/>
          </w:tcPr>
          <w:p w14:paraId="7FEEF5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古镇商业核心区：桃源西三路、桃兴路、桃源西四路及桃兴三路之间的区域</w:t>
            </w:r>
          </w:p>
        </w:tc>
        <w:tc>
          <w:tcPr>
            <w:tcW w:w="870" w:type="dxa"/>
            <w:noWrap w:val="0"/>
            <w:vAlign w:val="center"/>
          </w:tcPr>
          <w:p w14:paraId="7911D57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41D75D6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0DA442E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3BFD3C8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1F86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082" w:type="dxa"/>
            <w:noWrap w:val="0"/>
            <w:vAlign w:val="center"/>
          </w:tcPr>
          <w:p w14:paraId="22661D0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碧桂园及长寿中学片区：包括文苑大道、文苑北路、文苑南路、文苑中路、文苑西路、凤凰酒店、体育中心等</w:t>
            </w:r>
          </w:p>
        </w:tc>
        <w:tc>
          <w:tcPr>
            <w:tcW w:w="870" w:type="dxa"/>
            <w:noWrap w:val="0"/>
            <w:vAlign w:val="center"/>
          </w:tcPr>
          <w:p w14:paraId="7780F3E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125" w:type="dxa"/>
            <w:noWrap w:val="0"/>
            <w:vAlign w:val="center"/>
          </w:tcPr>
          <w:p w14:paraId="48F0007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1050" w:type="dxa"/>
            <w:noWrap w:val="0"/>
            <w:vAlign w:val="center"/>
          </w:tcPr>
          <w:p w14:paraId="6733989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c>
          <w:tcPr>
            <w:tcW w:w="933" w:type="dxa"/>
            <w:noWrap w:val="0"/>
            <w:vAlign w:val="center"/>
          </w:tcPr>
          <w:p w14:paraId="185C6F4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08CF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3086565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云峰寺片区：云峰寺至园丁路之间的区域，包括云峰路、云峰一支路、云峰二支路、长寿实验中学等</w:t>
            </w:r>
          </w:p>
        </w:tc>
        <w:tc>
          <w:tcPr>
            <w:tcW w:w="870" w:type="dxa"/>
            <w:noWrap w:val="0"/>
            <w:vAlign w:val="center"/>
          </w:tcPr>
          <w:p w14:paraId="0CEA46F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58CF57E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04F121E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40EE8AD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40E7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5082" w:type="dxa"/>
            <w:noWrap w:val="0"/>
            <w:vAlign w:val="center"/>
          </w:tcPr>
          <w:p w14:paraId="3EC92DE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城中城广场及顺风亭片区：平湖路至园丁路交叉口与渝长高速公路之间区域，包括建新路、建新北路、建新南路、建新中路、建设路、共兴街、城中城广场、顺风亭等</w:t>
            </w:r>
          </w:p>
        </w:tc>
        <w:tc>
          <w:tcPr>
            <w:tcW w:w="870" w:type="dxa"/>
            <w:noWrap w:val="0"/>
            <w:vAlign w:val="center"/>
          </w:tcPr>
          <w:p w14:paraId="39FC4AA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50E18BD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768B89B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6FCB068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38A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5082" w:type="dxa"/>
            <w:noWrap w:val="0"/>
            <w:vAlign w:val="center"/>
          </w:tcPr>
          <w:p w14:paraId="3382AC7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卫古路及轻化路片区：长寿路（烟草公司至下三角碑）、轻化路与凤山公园及凤中路至渝长高速公路之间区域，包括轻化路、卫古路、益民街、黄阁堡、卫校、原商技校、下三角碑等区域</w:t>
            </w:r>
          </w:p>
        </w:tc>
        <w:tc>
          <w:tcPr>
            <w:tcW w:w="870" w:type="dxa"/>
            <w:noWrap w:val="0"/>
            <w:vAlign w:val="center"/>
          </w:tcPr>
          <w:p w14:paraId="1996894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645CF8F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5B69C8C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19320E9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DBC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5082" w:type="dxa"/>
            <w:noWrap w:val="0"/>
            <w:vAlign w:val="center"/>
          </w:tcPr>
          <w:p w14:paraId="5183DF0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河街片区：临江路、滨江路、和平街、长寿港务站、顺风桥、凤城医院等</w:t>
            </w:r>
          </w:p>
        </w:tc>
        <w:tc>
          <w:tcPr>
            <w:tcW w:w="870" w:type="dxa"/>
            <w:noWrap w:val="0"/>
            <w:vAlign w:val="center"/>
          </w:tcPr>
          <w:p w14:paraId="488536D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751C2FE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2F722DC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3D23273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0A4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82" w:type="dxa"/>
            <w:noWrap w:val="0"/>
            <w:vAlign w:val="center"/>
          </w:tcPr>
          <w:p w14:paraId="6795A7E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校园路及行知中学背坎以下区域</w:t>
            </w:r>
          </w:p>
        </w:tc>
        <w:tc>
          <w:tcPr>
            <w:tcW w:w="870" w:type="dxa"/>
            <w:noWrap w:val="0"/>
            <w:vAlign w:val="center"/>
          </w:tcPr>
          <w:p w14:paraId="6D4AE8F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45A17D7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2A4CD02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67941D1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09A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82" w:type="dxa"/>
            <w:noWrap w:val="0"/>
            <w:vAlign w:val="center"/>
          </w:tcPr>
          <w:p w14:paraId="56149A1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长寿北火车站片区：车站广场区域</w:t>
            </w:r>
          </w:p>
        </w:tc>
        <w:tc>
          <w:tcPr>
            <w:tcW w:w="870" w:type="dxa"/>
            <w:noWrap w:val="0"/>
            <w:vAlign w:val="center"/>
          </w:tcPr>
          <w:p w14:paraId="1B24DD8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0E78B66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315262F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794F9A2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E9E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11B8D35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古镇配套住宅区：桃兴路、桃源西四路、桃兴三路及菩提东路之间的区域</w:t>
            </w:r>
          </w:p>
        </w:tc>
        <w:tc>
          <w:tcPr>
            <w:tcW w:w="870" w:type="dxa"/>
            <w:noWrap w:val="0"/>
            <w:vAlign w:val="center"/>
          </w:tcPr>
          <w:p w14:paraId="63BBACE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344E8EF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25DA00C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48F2A6E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585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2D1A3C6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小康汽车城片区：金科</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阳光小镇及新康</w:t>
            </w:r>
            <w:r>
              <w:rPr>
                <w:rFonts w:hint="eastAsia" w:ascii="Times New Roman" w:hAnsi="Times New Roman" w:eastAsia="方正仿宋_GBK" w:cs="微软雅黑"/>
                <w:kern w:val="0"/>
                <w:sz w:val="24"/>
                <w:szCs w:val="18"/>
              </w:rPr>
              <w:t>•</w:t>
            </w:r>
            <w:r>
              <w:rPr>
                <w:rFonts w:hint="eastAsia" w:ascii="Times New Roman" w:hAnsi="Times New Roman" w:eastAsia="方正仿宋_GBK" w:cs="仿宋"/>
                <w:kern w:val="0"/>
                <w:sz w:val="24"/>
                <w:szCs w:val="18"/>
              </w:rPr>
              <w:t>璞山以北、站西路以南与小康路、菩提东路之间的区域</w:t>
            </w:r>
          </w:p>
        </w:tc>
        <w:tc>
          <w:tcPr>
            <w:tcW w:w="870" w:type="dxa"/>
            <w:noWrap w:val="0"/>
            <w:vAlign w:val="center"/>
          </w:tcPr>
          <w:p w14:paraId="4B7AB53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611705D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4681BDA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4D70E69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D50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5379B4B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菩提山片区：菩提东路与菩提大道交叉口以西、菩提山脚片区</w:t>
            </w:r>
          </w:p>
        </w:tc>
        <w:tc>
          <w:tcPr>
            <w:tcW w:w="870" w:type="dxa"/>
            <w:noWrap w:val="0"/>
            <w:vAlign w:val="center"/>
          </w:tcPr>
          <w:p w14:paraId="79FC0F1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3090D15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2A3E57E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5609740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446E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4044D02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区中医院片区：桃花溪至朝阳路、民兴路之间的区域，包括财政局、检察院、朵力半岛香颂等</w:t>
            </w:r>
          </w:p>
        </w:tc>
        <w:tc>
          <w:tcPr>
            <w:tcW w:w="870" w:type="dxa"/>
            <w:noWrap w:val="0"/>
            <w:vAlign w:val="center"/>
          </w:tcPr>
          <w:p w14:paraId="5FCA28A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0A2882F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0F1E8FF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4F9FA15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E4F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082" w:type="dxa"/>
            <w:noWrap w:val="0"/>
            <w:vAlign w:val="center"/>
          </w:tcPr>
          <w:p w14:paraId="78D4F68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桃花东路片区：桃花东路与长涪高速公路之间区域，包括桃花东公路两侧、桃源丽庭、欣怡花园等</w:t>
            </w:r>
          </w:p>
        </w:tc>
        <w:tc>
          <w:tcPr>
            <w:tcW w:w="870" w:type="dxa"/>
            <w:noWrap w:val="0"/>
            <w:vAlign w:val="center"/>
          </w:tcPr>
          <w:p w14:paraId="7FEBF09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724589B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0D1BFFD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45D2AAA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9BE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4D47A70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阳鹤山片区：渝宜高速及桃花溪（碧桂园段）以东与长涪高速之间的规划区域</w:t>
            </w:r>
          </w:p>
        </w:tc>
        <w:tc>
          <w:tcPr>
            <w:tcW w:w="870" w:type="dxa"/>
            <w:noWrap w:val="0"/>
            <w:vAlign w:val="center"/>
          </w:tcPr>
          <w:p w14:paraId="6937B61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18DB906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3F132D8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2E48C24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4000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082" w:type="dxa"/>
            <w:noWrap w:val="0"/>
            <w:vAlign w:val="center"/>
          </w:tcPr>
          <w:p w14:paraId="0E73F52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渡舟中心区域：包括渡舟正街、渡中路、北城大道、幸福大道等</w:t>
            </w:r>
          </w:p>
        </w:tc>
        <w:tc>
          <w:tcPr>
            <w:tcW w:w="870" w:type="dxa"/>
            <w:noWrap w:val="0"/>
            <w:vAlign w:val="center"/>
          </w:tcPr>
          <w:p w14:paraId="21FDE64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4D860C8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13606EE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18921C1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59E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5082" w:type="dxa"/>
            <w:noWrap w:val="0"/>
            <w:vAlign w:val="center"/>
          </w:tcPr>
          <w:p w14:paraId="3F05E98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渡舟民兴片区：朝阳路以北渝利铁路以南与民兴路、桃花溪之间的区域，包括民兴路、堰桥路、杏林路、锦秀路等</w:t>
            </w:r>
          </w:p>
        </w:tc>
        <w:tc>
          <w:tcPr>
            <w:tcW w:w="870" w:type="dxa"/>
            <w:noWrap w:val="0"/>
            <w:vAlign w:val="center"/>
          </w:tcPr>
          <w:p w14:paraId="0DE52EF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125" w:type="dxa"/>
            <w:noWrap w:val="0"/>
            <w:vAlign w:val="center"/>
          </w:tcPr>
          <w:p w14:paraId="6B63756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1050" w:type="dxa"/>
            <w:noWrap w:val="0"/>
            <w:vAlign w:val="center"/>
          </w:tcPr>
          <w:p w14:paraId="2259FD9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c>
          <w:tcPr>
            <w:tcW w:w="933" w:type="dxa"/>
            <w:noWrap w:val="0"/>
            <w:vAlign w:val="center"/>
          </w:tcPr>
          <w:p w14:paraId="1493803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CEB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082" w:type="dxa"/>
            <w:noWrap w:val="0"/>
            <w:vAlign w:val="center"/>
          </w:tcPr>
          <w:p w14:paraId="0718B14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古佛片区：川染厂、长寿酒厂、氮肥厂、蓬垫厂及老古佛等</w:t>
            </w:r>
          </w:p>
        </w:tc>
        <w:tc>
          <w:tcPr>
            <w:tcW w:w="870" w:type="dxa"/>
            <w:noWrap w:val="0"/>
            <w:vAlign w:val="center"/>
          </w:tcPr>
          <w:p w14:paraId="4357435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2B59DA2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014F0ED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02FE73F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100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7149816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关口片区：麻柳嘴、东街、关口一村、关口二村、水泥厂、原长化公司等</w:t>
            </w:r>
          </w:p>
        </w:tc>
        <w:tc>
          <w:tcPr>
            <w:tcW w:w="870" w:type="dxa"/>
            <w:noWrap w:val="0"/>
            <w:vAlign w:val="center"/>
          </w:tcPr>
          <w:p w14:paraId="19CEE5E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247C2E3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4919185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0D097EC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255B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082" w:type="dxa"/>
            <w:noWrap w:val="0"/>
            <w:vAlign w:val="center"/>
          </w:tcPr>
          <w:p w14:paraId="5C6AA4B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渡舟北部片区：火车站以北至新市街道之间的规划区范围</w:t>
            </w:r>
          </w:p>
        </w:tc>
        <w:tc>
          <w:tcPr>
            <w:tcW w:w="870" w:type="dxa"/>
            <w:noWrap w:val="0"/>
            <w:vAlign w:val="center"/>
          </w:tcPr>
          <w:p w14:paraId="2BA2718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13B153F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2B3014B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40B64CA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66B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33140D9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晏家街道：晏家老街、经开区、川维厂等全部规划区</w:t>
            </w:r>
          </w:p>
        </w:tc>
        <w:tc>
          <w:tcPr>
            <w:tcW w:w="870" w:type="dxa"/>
            <w:noWrap w:val="0"/>
            <w:vAlign w:val="center"/>
          </w:tcPr>
          <w:p w14:paraId="50E0F36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4BBC53F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7A5717F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4B41CED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2</w:t>
            </w:r>
          </w:p>
        </w:tc>
      </w:tr>
      <w:tr w14:paraId="59C8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082" w:type="dxa"/>
            <w:noWrap w:val="0"/>
            <w:vAlign w:val="center"/>
          </w:tcPr>
          <w:p w14:paraId="0A849CC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江南街道：重钢片区、江南生活区等全部规划区</w:t>
            </w:r>
          </w:p>
        </w:tc>
        <w:tc>
          <w:tcPr>
            <w:tcW w:w="870" w:type="dxa"/>
            <w:noWrap w:val="0"/>
            <w:vAlign w:val="center"/>
          </w:tcPr>
          <w:p w14:paraId="482ED25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30CAE84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2C63424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10EDD64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C51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247B4C1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八颗街道：中心区域，包括陶颜路、菩兴路、菩兴东路、菩兴西路及工业园区等</w:t>
            </w:r>
          </w:p>
        </w:tc>
        <w:tc>
          <w:tcPr>
            <w:tcW w:w="870" w:type="dxa"/>
            <w:noWrap w:val="0"/>
            <w:vAlign w:val="center"/>
          </w:tcPr>
          <w:p w14:paraId="684A9DF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45FEFBE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326FD47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6A7C0F6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B53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082" w:type="dxa"/>
            <w:noWrap w:val="0"/>
            <w:vAlign w:val="center"/>
          </w:tcPr>
          <w:p w14:paraId="79B5F4E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新市街道：中心区域，包括河市井路、新福大道、新政街、新贸街、新福路及工业园区</w:t>
            </w:r>
          </w:p>
        </w:tc>
        <w:tc>
          <w:tcPr>
            <w:tcW w:w="870" w:type="dxa"/>
            <w:noWrap w:val="0"/>
            <w:vAlign w:val="center"/>
          </w:tcPr>
          <w:p w14:paraId="29ECE03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54226FB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38B89AA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31B74D1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F24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07210A8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长寿湖镇：中心区域，包括美食街、长湖路、湖滨路、沿湖路、湖寿西路、湖寿南路、湖欣二路等</w:t>
            </w:r>
          </w:p>
        </w:tc>
        <w:tc>
          <w:tcPr>
            <w:tcW w:w="870" w:type="dxa"/>
            <w:noWrap w:val="0"/>
            <w:vAlign w:val="center"/>
          </w:tcPr>
          <w:p w14:paraId="3F8EE8E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587B327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67C7791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2E2285F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434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5082" w:type="dxa"/>
            <w:noWrap w:val="0"/>
            <w:vAlign w:val="center"/>
          </w:tcPr>
          <w:p w14:paraId="042667F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菩提街道规划范围内其他国有建设用地</w:t>
            </w:r>
          </w:p>
        </w:tc>
        <w:tc>
          <w:tcPr>
            <w:tcW w:w="870" w:type="dxa"/>
            <w:noWrap w:val="0"/>
            <w:vAlign w:val="center"/>
          </w:tcPr>
          <w:p w14:paraId="20597C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17DE032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1493608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0D9B874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779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032A5C0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凤城街道规划范围内其他国有建设用地</w:t>
            </w:r>
          </w:p>
        </w:tc>
        <w:tc>
          <w:tcPr>
            <w:tcW w:w="870" w:type="dxa"/>
            <w:noWrap w:val="0"/>
            <w:vAlign w:val="center"/>
          </w:tcPr>
          <w:p w14:paraId="19A49D9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125" w:type="dxa"/>
            <w:noWrap w:val="0"/>
            <w:vAlign w:val="center"/>
          </w:tcPr>
          <w:p w14:paraId="487E4E1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1050" w:type="dxa"/>
            <w:noWrap w:val="0"/>
            <w:vAlign w:val="center"/>
          </w:tcPr>
          <w:p w14:paraId="3A0AE6A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4</w:t>
            </w:r>
          </w:p>
        </w:tc>
        <w:tc>
          <w:tcPr>
            <w:tcW w:w="933" w:type="dxa"/>
            <w:noWrap w:val="0"/>
            <w:vAlign w:val="center"/>
          </w:tcPr>
          <w:p w14:paraId="6A79ADF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7C8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082" w:type="dxa"/>
            <w:noWrap w:val="0"/>
            <w:vAlign w:val="center"/>
          </w:tcPr>
          <w:p w14:paraId="078AB64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渡舟街道规划范围内其他国有建设用地</w:t>
            </w:r>
          </w:p>
        </w:tc>
        <w:tc>
          <w:tcPr>
            <w:tcW w:w="870" w:type="dxa"/>
            <w:noWrap w:val="0"/>
            <w:vAlign w:val="center"/>
          </w:tcPr>
          <w:p w14:paraId="2539AD7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1DBD4B9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6DA15FC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33B621D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BE6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6199397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八颗街道规划范围内其他国有建设用地</w:t>
            </w:r>
          </w:p>
        </w:tc>
        <w:tc>
          <w:tcPr>
            <w:tcW w:w="870" w:type="dxa"/>
            <w:noWrap w:val="0"/>
            <w:vAlign w:val="center"/>
          </w:tcPr>
          <w:p w14:paraId="0A0F3FC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733BE48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63835B2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541F9853">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C0D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06203C3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新市街道规划范围内其他国有建设用地</w:t>
            </w:r>
          </w:p>
        </w:tc>
        <w:tc>
          <w:tcPr>
            <w:tcW w:w="870" w:type="dxa"/>
            <w:noWrap w:val="0"/>
            <w:vAlign w:val="center"/>
          </w:tcPr>
          <w:p w14:paraId="00382CE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23FECB7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55916B9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6EE4471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C7C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41C0240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长寿湖镇规划范围内其他国有建设用地</w:t>
            </w:r>
          </w:p>
        </w:tc>
        <w:tc>
          <w:tcPr>
            <w:tcW w:w="870" w:type="dxa"/>
            <w:noWrap w:val="0"/>
            <w:vAlign w:val="center"/>
          </w:tcPr>
          <w:p w14:paraId="1C5A8A0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47D485C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5389A4A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2BEE204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CDE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3227CF8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葛兰镇：中心区域，包括葛兰街、白鹤街、响水街、川主庙街</w:t>
            </w:r>
          </w:p>
        </w:tc>
        <w:tc>
          <w:tcPr>
            <w:tcW w:w="870" w:type="dxa"/>
            <w:noWrap w:val="0"/>
            <w:vAlign w:val="center"/>
          </w:tcPr>
          <w:p w14:paraId="7DBBB69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2BA5178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30D4274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1ADFD5B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CFD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7C3EBC0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云台镇：中心区域，包括云台路、云盛街、云兴街、云台正街</w:t>
            </w:r>
          </w:p>
        </w:tc>
        <w:tc>
          <w:tcPr>
            <w:tcW w:w="870" w:type="dxa"/>
            <w:noWrap w:val="0"/>
            <w:vAlign w:val="center"/>
          </w:tcPr>
          <w:p w14:paraId="6322BB2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62B5B07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77C1399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28C71C5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2F3A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3AF2AFE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双龙镇：中心区域，包括龙兴街、龙乐街、龙富街、龙祥街</w:t>
            </w:r>
          </w:p>
        </w:tc>
        <w:tc>
          <w:tcPr>
            <w:tcW w:w="870" w:type="dxa"/>
            <w:noWrap w:val="0"/>
            <w:vAlign w:val="center"/>
          </w:tcPr>
          <w:p w14:paraId="1829621C">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125" w:type="dxa"/>
            <w:noWrap w:val="0"/>
            <w:vAlign w:val="center"/>
          </w:tcPr>
          <w:p w14:paraId="474A5F7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1050" w:type="dxa"/>
            <w:noWrap w:val="0"/>
            <w:vAlign w:val="center"/>
          </w:tcPr>
          <w:p w14:paraId="4AE5585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5</w:t>
            </w:r>
          </w:p>
        </w:tc>
        <w:tc>
          <w:tcPr>
            <w:tcW w:w="933" w:type="dxa"/>
            <w:noWrap w:val="0"/>
            <w:vAlign w:val="center"/>
          </w:tcPr>
          <w:p w14:paraId="20D54DF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341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1D31FEB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葛兰镇规划范围内其他国有建设用地</w:t>
            </w:r>
          </w:p>
        </w:tc>
        <w:tc>
          <w:tcPr>
            <w:tcW w:w="870" w:type="dxa"/>
            <w:noWrap w:val="0"/>
            <w:vAlign w:val="center"/>
          </w:tcPr>
          <w:p w14:paraId="3C8AC3C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08B9A74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0F3BB19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6BC7220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04D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7480D62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云台镇规划范围内其他国有建设用地</w:t>
            </w:r>
          </w:p>
        </w:tc>
        <w:tc>
          <w:tcPr>
            <w:tcW w:w="870" w:type="dxa"/>
            <w:noWrap w:val="0"/>
            <w:vAlign w:val="center"/>
          </w:tcPr>
          <w:p w14:paraId="10EECC5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6320C65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14EC8FD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33B3505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B52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082" w:type="dxa"/>
            <w:noWrap w:val="0"/>
            <w:vAlign w:val="center"/>
          </w:tcPr>
          <w:p w14:paraId="2302A63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双龙镇规划范围内其他国有建设用地</w:t>
            </w:r>
          </w:p>
        </w:tc>
        <w:tc>
          <w:tcPr>
            <w:tcW w:w="870" w:type="dxa"/>
            <w:noWrap w:val="0"/>
            <w:vAlign w:val="center"/>
          </w:tcPr>
          <w:p w14:paraId="4368778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0CADDB91">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5CB0A25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37F1559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CB3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71A8591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石堰镇</w:t>
            </w:r>
          </w:p>
        </w:tc>
        <w:tc>
          <w:tcPr>
            <w:tcW w:w="870" w:type="dxa"/>
            <w:noWrap w:val="0"/>
            <w:vAlign w:val="center"/>
          </w:tcPr>
          <w:p w14:paraId="7A87576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1DD3392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4366D22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3452400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123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27E2003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海棠镇</w:t>
            </w:r>
          </w:p>
        </w:tc>
        <w:tc>
          <w:tcPr>
            <w:tcW w:w="870" w:type="dxa"/>
            <w:noWrap w:val="0"/>
            <w:vAlign w:val="center"/>
          </w:tcPr>
          <w:p w14:paraId="4A45C25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2446CF3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42E0FD4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3DED3FE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57F6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59E2C03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龙河镇</w:t>
            </w:r>
          </w:p>
        </w:tc>
        <w:tc>
          <w:tcPr>
            <w:tcW w:w="870" w:type="dxa"/>
            <w:noWrap w:val="0"/>
            <w:vAlign w:val="center"/>
          </w:tcPr>
          <w:p w14:paraId="6B37F55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4290679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03C024F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1131A95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35C0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092EC8E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但渡镇</w:t>
            </w:r>
          </w:p>
        </w:tc>
        <w:tc>
          <w:tcPr>
            <w:tcW w:w="870" w:type="dxa"/>
            <w:noWrap w:val="0"/>
            <w:vAlign w:val="center"/>
          </w:tcPr>
          <w:p w14:paraId="6CFB16B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068C511B">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25281C20">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0298C72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17A1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04295E66">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邻封镇</w:t>
            </w:r>
          </w:p>
        </w:tc>
        <w:tc>
          <w:tcPr>
            <w:tcW w:w="870" w:type="dxa"/>
            <w:noWrap w:val="0"/>
            <w:vAlign w:val="center"/>
          </w:tcPr>
          <w:p w14:paraId="541ED78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125" w:type="dxa"/>
            <w:noWrap w:val="0"/>
            <w:vAlign w:val="center"/>
          </w:tcPr>
          <w:p w14:paraId="34E091F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3EBE704A">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5C1D65F7">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01EE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700B45FD">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洪湖镇</w:t>
            </w:r>
          </w:p>
        </w:tc>
        <w:tc>
          <w:tcPr>
            <w:tcW w:w="870" w:type="dxa"/>
            <w:noWrap w:val="0"/>
            <w:vAlign w:val="center"/>
          </w:tcPr>
          <w:p w14:paraId="336ACB2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7</w:t>
            </w:r>
          </w:p>
        </w:tc>
        <w:tc>
          <w:tcPr>
            <w:tcW w:w="1125" w:type="dxa"/>
            <w:noWrap w:val="0"/>
            <w:vAlign w:val="center"/>
          </w:tcPr>
          <w:p w14:paraId="5AED408F">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1050" w:type="dxa"/>
            <w:noWrap w:val="0"/>
            <w:vAlign w:val="center"/>
          </w:tcPr>
          <w:p w14:paraId="7661237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6</w:t>
            </w:r>
          </w:p>
        </w:tc>
        <w:tc>
          <w:tcPr>
            <w:tcW w:w="933" w:type="dxa"/>
            <w:noWrap w:val="0"/>
            <w:vAlign w:val="center"/>
          </w:tcPr>
          <w:p w14:paraId="427246C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ascii="Times New Roman" w:hAnsi="Times New Roman" w:eastAsia="方正仿宋_GBK" w:cs="宋体"/>
                <w:kern w:val="0"/>
                <w:sz w:val="24"/>
                <w:szCs w:val="24"/>
              </w:rPr>
            </w:pPr>
            <w:r>
              <w:rPr>
                <w:rFonts w:hint="eastAsia" w:ascii="Times New Roman" w:hAnsi="Times New Roman" w:eastAsia="方正仿宋_GBK" w:cs="Tahoma"/>
                <w:kern w:val="0"/>
                <w:sz w:val="24"/>
                <w:szCs w:val="18"/>
              </w:rPr>
              <w:t>3</w:t>
            </w:r>
          </w:p>
        </w:tc>
      </w:tr>
      <w:tr w14:paraId="63BE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6F35674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万顺镇</w:t>
            </w:r>
          </w:p>
        </w:tc>
        <w:tc>
          <w:tcPr>
            <w:tcW w:w="870" w:type="dxa"/>
            <w:noWrap w:val="0"/>
            <w:vAlign w:val="center"/>
          </w:tcPr>
          <w:p w14:paraId="77A4965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7</w:t>
            </w:r>
          </w:p>
        </w:tc>
        <w:tc>
          <w:tcPr>
            <w:tcW w:w="1125" w:type="dxa"/>
            <w:noWrap w:val="0"/>
            <w:vAlign w:val="center"/>
          </w:tcPr>
          <w:p w14:paraId="11672012">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6</w:t>
            </w:r>
          </w:p>
        </w:tc>
        <w:tc>
          <w:tcPr>
            <w:tcW w:w="1050" w:type="dxa"/>
            <w:noWrap w:val="0"/>
            <w:vAlign w:val="center"/>
          </w:tcPr>
          <w:p w14:paraId="18FAE94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6</w:t>
            </w:r>
          </w:p>
        </w:tc>
        <w:tc>
          <w:tcPr>
            <w:tcW w:w="933" w:type="dxa"/>
            <w:noWrap w:val="0"/>
            <w:vAlign w:val="center"/>
          </w:tcPr>
          <w:p w14:paraId="0BE2397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3</w:t>
            </w:r>
          </w:p>
        </w:tc>
      </w:tr>
      <w:tr w14:paraId="714D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82" w:type="dxa"/>
            <w:noWrap w:val="0"/>
            <w:vAlign w:val="center"/>
          </w:tcPr>
          <w:p w14:paraId="49A2A659">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both"/>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云集镇</w:t>
            </w:r>
          </w:p>
        </w:tc>
        <w:tc>
          <w:tcPr>
            <w:tcW w:w="870" w:type="dxa"/>
            <w:noWrap w:val="0"/>
            <w:vAlign w:val="center"/>
          </w:tcPr>
          <w:p w14:paraId="7D356D5E">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7</w:t>
            </w:r>
          </w:p>
        </w:tc>
        <w:tc>
          <w:tcPr>
            <w:tcW w:w="1125" w:type="dxa"/>
            <w:noWrap w:val="0"/>
            <w:vAlign w:val="center"/>
          </w:tcPr>
          <w:p w14:paraId="5503C594">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6</w:t>
            </w:r>
          </w:p>
        </w:tc>
        <w:tc>
          <w:tcPr>
            <w:tcW w:w="1050" w:type="dxa"/>
            <w:noWrap w:val="0"/>
            <w:vAlign w:val="center"/>
          </w:tcPr>
          <w:p w14:paraId="5BD97FA5">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6</w:t>
            </w:r>
          </w:p>
        </w:tc>
        <w:tc>
          <w:tcPr>
            <w:tcW w:w="933" w:type="dxa"/>
            <w:noWrap w:val="0"/>
            <w:vAlign w:val="center"/>
          </w:tcPr>
          <w:p w14:paraId="45B2AA08">
            <w:pPr>
              <w:keepNext w:val="0"/>
              <w:keepLines w:val="0"/>
              <w:pageBreakBefore w:val="0"/>
              <w:widowControl/>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仿宋_GBK" w:cs="Tahoma"/>
                <w:kern w:val="0"/>
                <w:sz w:val="24"/>
                <w:szCs w:val="18"/>
              </w:rPr>
            </w:pPr>
            <w:r>
              <w:rPr>
                <w:rFonts w:hint="eastAsia" w:ascii="Times New Roman" w:hAnsi="Times New Roman" w:eastAsia="方正仿宋_GBK" w:cs="Tahoma"/>
                <w:kern w:val="0"/>
                <w:sz w:val="24"/>
                <w:szCs w:val="18"/>
              </w:rPr>
              <w:t>3</w:t>
            </w:r>
          </w:p>
        </w:tc>
      </w:tr>
    </w:tbl>
    <w:p w14:paraId="53F8FCC7">
      <w:pPr>
        <w:keepNext w:val="0"/>
        <w:keepLines w:val="0"/>
        <w:pageBreakBefore w:val="0"/>
        <w:widowControl w:val="0"/>
        <w:shd w:val="clear" w:color="auto" w:fill="FFFFFF"/>
        <w:kinsoku/>
        <w:wordWrap/>
        <w:overflowPunct/>
        <w:topLinePunct w:val="0"/>
        <w:bidi w:val="0"/>
        <w:spacing w:line="600" w:lineRule="exact"/>
        <w:textAlignment w:val="auto"/>
        <w:rPr>
          <w:rFonts w:hint="eastAsia" w:ascii="Times New Roman" w:hAnsi="Times New Roman" w:eastAsia="方正黑体_GBK" w:cs="Times New Roman"/>
          <w:sz w:val="32"/>
          <w:szCs w:val="20"/>
          <w:lang w:val="en-US" w:eastAsia="zh-CN"/>
        </w:rPr>
      </w:pPr>
      <w:r>
        <w:rPr>
          <w:rFonts w:hint="eastAsia" w:ascii="Times New Roman" w:hAnsi="Times New Roman" w:eastAsia="方正仿宋_GBK" w:cs="Times New Roman"/>
          <w:sz w:val="32"/>
          <w:szCs w:val="20"/>
        </w:rPr>
        <w:br w:type="page"/>
      </w:r>
      <w:r>
        <w:rPr>
          <w:rFonts w:hint="eastAsia" w:ascii="Times New Roman" w:hAnsi="Times New Roman" w:eastAsia="方正黑体_GBK" w:cs="Times New Roman"/>
          <w:sz w:val="32"/>
          <w:szCs w:val="20"/>
        </w:rPr>
        <w:t>附件</w:t>
      </w:r>
      <w:r>
        <w:rPr>
          <w:rFonts w:hint="eastAsia" w:ascii="Times New Roman" w:hAnsi="Times New Roman" w:eastAsia="方正黑体_GBK" w:cs="Times New Roman"/>
          <w:sz w:val="32"/>
          <w:szCs w:val="20"/>
          <w:lang w:val="en-US" w:eastAsia="zh-CN"/>
        </w:rPr>
        <w:t>3</w:t>
      </w:r>
    </w:p>
    <w:p w14:paraId="56B4E743">
      <w:pPr>
        <w:pStyle w:val="2"/>
        <w:keepNext w:val="0"/>
        <w:keepLines w:val="0"/>
        <w:pageBreakBefore w:val="0"/>
        <w:widowControl w:val="0"/>
        <w:kinsoku/>
        <w:wordWrap/>
        <w:overflowPunct/>
        <w:topLinePunct w:val="0"/>
        <w:bidi w:val="0"/>
        <w:spacing w:line="600" w:lineRule="exact"/>
        <w:textAlignment w:val="auto"/>
      </w:pPr>
    </w:p>
    <w:p w14:paraId="00354D7E">
      <w:pPr>
        <w:keepNext w:val="0"/>
        <w:keepLines w:val="0"/>
        <w:pageBreakBefore w:val="0"/>
        <w:widowControl w:val="0"/>
        <w:shd w:val="clear" w:color="auto" w:fill="FFFFFF"/>
        <w:kinsoku/>
        <w:wordWrap/>
        <w:overflowPunct/>
        <w:topLinePunct w:val="0"/>
        <w:bidi w:val="0"/>
        <w:snapToGrid/>
        <w:spacing w:line="600" w:lineRule="exact"/>
        <w:jc w:val="center"/>
        <w:textAlignment w:val="auto"/>
        <w:rPr>
          <w:rFonts w:hint="eastAsia"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长寿区城镇建设用地使用权基准地价说明</w:t>
      </w:r>
    </w:p>
    <w:p w14:paraId="663AF703">
      <w:pPr>
        <w:pStyle w:val="2"/>
        <w:keepNext w:val="0"/>
        <w:keepLines w:val="0"/>
        <w:pageBreakBefore w:val="0"/>
        <w:widowControl w:val="0"/>
        <w:kinsoku/>
        <w:wordWrap/>
        <w:overflowPunct/>
        <w:topLinePunct w:val="0"/>
        <w:bidi w:val="0"/>
        <w:snapToGrid/>
        <w:spacing w:line="600" w:lineRule="exact"/>
        <w:textAlignment w:val="auto"/>
        <w:rPr>
          <w:rFonts w:hint="eastAsia"/>
        </w:rPr>
      </w:pPr>
    </w:p>
    <w:p w14:paraId="4F8E62D5">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outlineLvl w:val="0"/>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一、适用范围</w:t>
      </w:r>
    </w:p>
    <w:p w14:paraId="1F4DE41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本次公布的长寿区基准地价（以下简称</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基准地价</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的使用范围包括长寿区凤城街道、晏家街道、江南街道、渡舟街道、菩提街道、新市街道、八颗街道7个街道；长寿湖镇、云台镇、葛兰镇、但渡镇、邻封镇、云集镇、双龙镇、龙河镇、海棠镇、石堰镇、洪湖镇、万顺镇12个镇所辖建设区及规划区域内的所有国有建设用地。</w:t>
      </w:r>
    </w:p>
    <w:p w14:paraId="088DEEBE">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outlineLvl w:val="0"/>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二、基准地价内涵</w:t>
      </w:r>
    </w:p>
    <w:p w14:paraId="0E879EF5">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基准地价的内涵为城镇国有建设用地使用权不同级别、不同用途、设定容积率和土地开发程度下，法定最高出让年限的区域平均价格。基准地价的价格表现形式为楼面地价，是指单位建筑面积分摊的完整的国有建设用地使用权的平均价格（单位：元/平方米）。</w:t>
      </w:r>
    </w:p>
    <w:p w14:paraId="2AD4D152">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（一）基准地价期日</w:t>
      </w:r>
    </w:p>
    <w:p w14:paraId="149581F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2021年1月1日。</w:t>
      </w:r>
    </w:p>
    <w:p w14:paraId="4CEC7B57">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（二）基准地价容积率</w:t>
      </w:r>
    </w:p>
    <w:p w14:paraId="626918A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商服用地2.5，住宅用地2.0，工矿仓储用地1.0，公共管理与公共服务用地1.5。</w:t>
      </w:r>
    </w:p>
    <w:p w14:paraId="5EC28CA3">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（三）基准地价使用年限</w:t>
      </w:r>
    </w:p>
    <w:p w14:paraId="6A3AE75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商服40年、住宅70年、工矿仓储50年、公服50年。</w:t>
      </w:r>
    </w:p>
    <w:p w14:paraId="5048C791">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（四）基准地价土地开发程度</w:t>
      </w:r>
    </w:p>
    <w:p w14:paraId="0CB56030">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商服、住宅、公共管理与公共服务用地开发程度为“六通一平”，指宗地外通路、通电、通讯、通上水、通下水、通燃气及宗地内场地平整；工矿仓储用地开发程度为“五通一平”，指宗地外通路、通电、通讯、通上水、通下水及宗地内场地平整。</w:t>
      </w:r>
    </w:p>
    <w:p w14:paraId="6DC6FDCA">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outlineLvl w:val="0"/>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三、土地用途分类</w:t>
      </w:r>
    </w:p>
    <w:p w14:paraId="5E321214">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基准地价土地用途分为商服、住宅</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工矿仓储</w:t>
      </w:r>
      <w:r>
        <w:rPr>
          <w:rFonts w:hint="eastAsia" w:ascii="Times New Roman" w:hAnsi="Times New Roman" w:eastAsia="方正仿宋_GBK" w:cs="Times New Roman"/>
          <w:sz w:val="32"/>
          <w:szCs w:val="20"/>
          <w:lang w:eastAsia="zh-CN"/>
        </w:rPr>
        <w:t>和</w:t>
      </w:r>
      <w:r>
        <w:rPr>
          <w:rFonts w:hint="eastAsia" w:ascii="Times New Roman" w:hAnsi="Times New Roman" w:eastAsia="方正仿宋_GBK" w:cs="Times New Roman"/>
          <w:sz w:val="32"/>
          <w:szCs w:val="20"/>
        </w:rPr>
        <w:t>公共管理与公共服务用地四类。</w:t>
      </w:r>
    </w:p>
    <w:p w14:paraId="2CA0CD39">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（一）商服类</w:t>
      </w:r>
    </w:p>
    <w:p w14:paraId="2AB8F38A">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包括商业用地（指零售商业、批发市场及餐饮、旅馆及公用设施营业网点等服务业用地。零售商业用地：指商铺、商场、超市、服装及小商品市场等用地；批发市场用地：指以批发功能为主的市场用地；餐饮用地：指饭店、餐厅、酒吧等用地；旅馆用地：指宾馆、旅馆、招待所、服务型公寓、有住宿功能的度假村等用地；公用设施营业网点用地：指零售加油、加气、充换电站、电信、邮政、供水、燃气、供电、供热等公用设施营业网点用地）；</w:t>
      </w:r>
    </w:p>
    <w:p w14:paraId="219B96A4">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商务金融用地（指金融保险、艺术传媒、研发设计、技术服务、物流管理中心等综合性办公用地）；</w:t>
      </w:r>
    </w:p>
    <w:p w14:paraId="0EBD9BE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娱乐康体用地（指各类娱乐、康体等设施用地。娱乐用地：指剧院、音乐厅、电影院、歌舞厅、网吧以及绿地率小于65%的大型游乐等设施用地；康体用地：指高尔夫练习场、赛马场、溜冰场、跳伞场、摩托车场、射击场，以及水上运动的陆域部分等用地）；</w:t>
      </w:r>
    </w:p>
    <w:p w14:paraId="0FEC3859">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其他商业服务业用地（指除以上之外的商业服务业用地，包括以观光娱乐为目的的直升机停机坪等通用航空、汽车维修站以及宠物医院、洗车场、洗染店、照相馆、理发美容店、洗浴场所、废旧物资回收站、机动车、电子产品和日用产品修理网点、物流营业网点等用地）。</w:t>
      </w:r>
    </w:p>
    <w:p w14:paraId="4B50EB79">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（二）住宅类</w:t>
      </w:r>
    </w:p>
    <w:p w14:paraId="1F4D4CA8">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包括城镇住宅用地</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指城镇住宅用地及其居住生活配套的社区服务设施用地</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w:t>
      </w:r>
    </w:p>
    <w:p w14:paraId="6D689252">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（三）工矿仓储类</w:t>
      </w:r>
    </w:p>
    <w:p w14:paraId="3ED18532">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包括工业用地（指工矿企业的生产车间、装备修理、自用库房及其附属设施用地，包括专用铁路、码头和附属道路、停车场等用地，不包括采矿用地）；仓储用地（指物流仓储和战略性物资储备库用地）；采矿用地（指采矿、采石、采砂（沙）场，砖瓦窑等地面生产用地及排土（石）、尾矿堆放用地）。</w:t>
      </w:r>
    </w:p>
    <w:p w14:paraId="44CF0715">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（四）公共管理与公共服务类</w:t>
      </w:r>
    </w:p>
    <w:p w14:paraId="1B3DB362">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包括机关团体用地（指党政机关、人民团体及其相关直属机构、派出机构和直属事业单位的办公及附属设施用地）；科研用地（指科研机构及其科研设施用地）；文化用地（指图书、展览等公共文化活动设施用地）；教育用地（指高等教育、中等职业教育、中小学教育、幼儿园、特殊教育设施等用地，包括为学校配建的独立地段的学生生活用地）；体育用地（指体育场馆和体育训练基地等用地，不包括学校、企事业、军队等机构内部专用的体育设施用地）；医疗卫生用地（指医疗、预防、保健、护理、康复、急救、安宁疗护等用地）；社会福利设施用地（指为老年人、儿童及残疾人等提供社会福利和慈善服务的设施用地）。</w:t>
      </w:r>
    </w:p>
    <w:p w14:paraId="55FF120F">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公用设施用地（指用于城镇和区域基础设施的供水、排水、供电、供燃气、供热、通信、邮政、广播电视、环卫、消防、干渠、水工等设施用地）。</w:t>
      </w:r>
    </w:p>
    <w:p w14:paraId="039EF8B0">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殡葬用地（指殡仪馆、火葬场、骨灰存放处和陵园、墓地等用地）。</w:t>
      </w:r>
    </w:p>
    <w:p w14:paraId="3717764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交通运输用地（指铁路、公路、机场、港口码头、管道运输、城市轨道交通、各种道路以及交通场站等交通运输设施及其附属设施用地，不包括其他用地内的附属道路、停车场等用地）。</w:t>
      </w:r>
    </w:p>
    <w:p w14:paraId="5EE57D4A">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其他未列入上述范围的用地，其用途类别可参照相关或相近用地用途类别确定。工矿仓储类、公共管理与公共服务类用地中的配套经营性设施用地，应参照商服用途确定。</w:t>
      </w:r>
    </w:p>
    <w:p w14:paraId="6E1DFB88">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outlineLvl w:val="0"/>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四、基准地价的应用</w:t>
      </w:r>
    </w:p>
    <w:p w14:paraId="68627762">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运用基准地价系数修正法进行宗地价格评估时应适用对应用途级别的基准地价，并根据宗地实际情况进行土地用途、期日、年期、容积率、区域和个别因素及土地开发程度等修正。评估多用途混合的宗地价格时，应按各具体用途分别修正后加权测算。</w:t>
      </w:r>
    </w:p>
    <w:p w14:paraId="5E461B29">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 xml:space="preserve">（一）宗地价格计算公式 </w:t>
      </w:r>
    </w:p>
    <w:p w14:paraId="4E10C5A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地上计容部分</w:t>
      </w:r>
    </w:p>
    <w:p w14:paraId="449D0C5A">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楼面地价=适用的基准地价×土地用途修正系数×期日修正系数×年期修正系数×容积率修正系数×区域和个别因素修正系数±土地开发程度修正值</w:t>
      </w:r>
    </w:p>
    <w:p w14:paraId="0CBDBC78">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地面价=楼面地价×R</w:t>
      </w:r>
    </w:p>
    <w:p w14:paraId="5BCB53C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R为设定容积率（工矿仓储用地R为1；商服、住宅、公服用地设定容积率小于1时，R取1）</w:t>
      </w:r>
    </w:p>
    <w:p w14:paraId="05957514">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地下不计容部分</w:t>
      </w:r>
    </w:p>
    <w:p w14:paraId="7497FBD2">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楼面地价=适用的基准地价×相应用途地下空间修正系数×期日修正系数×年期修正系数×区域和个别因素修正系数±土地开发程度修正值</w:t>
      </w:r>
    </w:p>
    <w:p w14:paraId="3B9A42F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地面价=楼面地价×（建筑面积÷宗地土地面积）</w:t>
      </w:r>
    </w:p>
    <w:p w14:paraId="2E8330B2">
      <w:pPr>
        <w:keepNext w:val="0"/>
        <w:keepLines w:val="0"/>
        <w:pageBreakBefore w:val="0"/>
        <w:widowControl w:val="0"/>
        <w:kinsoku/>
        <w:wordWrap/>
        <w:overflowPunct/>
        <w:topLinePunct w:val="0"/>
        <w:bidi w:val="0"/>
        <w:adjustRightInd w:val="0"/>
        <w:snapToGrid w:val="0"/>
        <w:spacing w:line="600" w:lineRule="exact"/>
        <w:ind w:firstLine="640" w:firstLineChars="200"/>
        <w:textAlignment w:val="auto"/>
        <w:rPr>
          <w:rFonts w:hint="eastAsia" w:ascii="Times New Roman" w:hAnsi="Times New Roman" w:eastAsia="方正楷体_GBK" w:cs="Times New Roman"/>
          <w:sz w:val="32"/>
          <w:szCs w:val="32"/>
        </w:rPr>
      </w:pPr>
      <w:r>
        <w:rPr>
          <w:rFonts w:hint="eastAsia" w:ascii="Times New Roman" w:hAnsi="Times New Roman" w:eastAsia="方正楷体_GBK" w:cs="Times New Roman"/>
          <w:sz w:val="32"/>
          <w:szCs w:val="32"/>
        </w:rPr>
        <w:t>（二）宗地价格测算在有关参数的确定</w:t>
      </w:r>
    </w:p>
    <w:p w14:paraId="7EEF0E9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1.</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适用的基准地价的确定</w:t>
      </w:r>
    </w:p>
    <w:p w14:paraId="1A410997">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根据宗地的法定用途，按照本说明第三条规定的基准地价分类，确定适用的基准地价用途后，根据本次公布实施的土地级别，确定对应用途级别应适用的基准地价。</w:t>
      </w:r>
    </w:p>
    <w:p w14:paraId="660C2694">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2.</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用途修正系数的确定</w:t>
      </w:r>
    </w:p>
    <w:p w14:paraId="42E3FFAF">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宗地需要进行用途修正的，按照《土地用途修正系数表》确定用途修正系数。地下不计容部分应根据《地下空间修正系数表》相应用途比准类别确定相应用途地下空间修正系数。</w:t>
      </w:r>
    </w:p>
    <w:p w14:paraId="42BC8190">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3.</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期日修正系数的确定</w:t>
      </w:r>
    </w:p>
    <w:p w14:paraId="7F3751B3">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期日修正系数=宗地估价期日的地价指数÷基准地价期日的地价指数</w:t>
      </w:r>
    </w:p>
    <w:p w14:paraId="5957259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宗地估价期日的地价指数以重庆市地价动态监测成果公布的地价指数、地价增长率为准。</w:t>
      </w:r>
    </w:p>
    <w:p w14:paraId="50965A26">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30" w:firstLineChars="3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rPr>
        <w:pict>
          <v:shape id="Picture 1" o:spid="_x0000_s1040" o:spt="75" type="#_x0000_t75" style="position:absolute;left:0pt;margin-left:219.7pt;margin-top:578.05pt;height:36pt;width:108pt;mso-position-horizontal-relative:page;mso-position-vertical-relative:page;z-index:251662336;mso-width-relative:page;mso-height-relative:page;" o:ole="t" filled="f" stroked="f" coordsize="21600,21600">
            <v:path/>
            <v:fill on="f" focussize="0,0"/>
            <v:stroke on="f"/>
            <v:imagedata r:id="rId7" o:title=""/>
            <o:lock v:ext="edit" grouping="f" rotation="f" text="f" aspectratio="t"/>
          </v:shape>
          <o:OLEObject Type="Embed" ProgID="" ShapeID="Picture 1" DrawAspect="Content" ObjectID="_1468075725" r:id="rId6">
            <o:LockedField>false</o:LockedField>
          </o:OLEObject>
        </w:pict>
      </w:r>
      <w:r>
        <w:rPr>
          <w:rFonts w:hint="eastAsia" w:ascii="Times New Roman" w:hAnsi="Times New Roman" w:eastAsia="方正仿宋_GBK" w:cs="Times New Roman"/>
          <w:sz w:val="32"/>
          <w:szCs w:val="20"/>
        </w:rPr>
        <w:t>4.</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土地使用年期修正系数的确定</w:t>
      </w:r>
    </w:p>
    <w:p w14:paraId="72347686">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年期修正系数=</w:t>
      </w:r>
    </w:p>
    <w:p w14:paraId="0D156B2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r为土地还原率</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商服、住宅、工矿仓储、公共管理与公共服务分别为6.15%、5.65%、4.61%、4.95%</w:t>
      </w:r>
      <w:r>
        <w:rPr>
          <w:rFonts w:hint="eastAsia" w:ascii="Times New Roman" w:hAnsi="Times New Roman" w:eastAsia="方正仿宋_GBK" w:cs="Times New Roman"/>
          <w:sz w:val="32"/>
          <w:szCs w:val="20"/>
          <w:lang w:eastAsia="zh-CN"/>
        </w:rPr>
        <w:t>）</w:t>
      </w:r>
      <w:r>
        <w:rPr>
          <w:rFonts w:hint="eastAsia" w:ascii="Times New Roman" w:hAnsi="Times New Roman" w:eastAsia="方正仿宋_GBK" w:cs="Times New Roman"/>
          <w:sz w:val="32"/>
          <w:szCs w:val="20"/>
        </w:rPr>
        <w:t>；n为宗地剩余使用年限；m为基准地价规定的相应用途土地使用年限。</w:t>
      </w:r>
    </w:p>
    <w:p w14:paraId="3F3556D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5.</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容积率修正系数的确定</w:t>
      </w:r>
    </w:p>
    <w:p w14:paraId="3A8BA09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按照宗地的法定容积率（R），根据《容积率修正系数表》确定容积率修正系数。商服、住宅、公服容积率小于1时，按容积率1确定修正系数；商服、住宅、公服容积率大于4时，按容积率4确定修正系数。工业不做容积率修正。</w:t>
      </w:r>
    </w:p>
    <w:p w14:paraId="53D3525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当R</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＜R＜R</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（R</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、R</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为上述《容积率修正系数表》中所列的相邻容积率）时，按下列公式计算容积率修正系数（X）:</w:t>
      </w:r>
    </w:p>
    <w:p w14:paraId="01D706C0">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X=X</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+(X</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-X</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)×(R-R</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)/(R</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-R</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w:t>
      </w:r>
    </w:p>
    <w:p w14:paraId="7C6333F4">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X</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、X</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为R</w:t>
      </w:r>
      <w:r>
        <w:rPr>
          <w:rFonts w:hint="eastAsia" w:ascii="Times New Roman" w:hAnsi="Times New Roman" w:eastAsia="方正仿宋_GBK" w:cs="Times New Roman"/>
          <w:sz w:val="32"/>
          <w:szCs w:val="20"/>
          <w:vertAlign w:val="subscript"/>
        </w:rPr>
        <w:t>1</w:t>
      </w:r>
      <w:r>
        <w:rPr>
          <w:rFonts w:hint="eastAsia" w:ascii="Times New Roman" w:hAnsi="Times New Roman" w:eastAsia="方正仿宋_GBK" w:cs="Times New Roman"/>
          <w:sz w:val="32"/>
          <w:szCs w:val="20"/>
        </w:rPr>
        <w:t>、R</w:t>
      </w:r>
      <w:r>
        <w:rPr>
          <w:rFonts w:hint="eastAsia" w:ascii="Times New Roman" w:hAnsi="Times New Roman" w:eastAsia="方正仿宋_GBK" w:cs="Times New Roman"/>
          <w:sz w:val="32"/>
          <w:szCs w:val="20"/>
          <w:vertAlign w:val="subscript"/>
        </w:rPr>
        <w:t>2</w:t>
      </w:r>
      <w:r>
        <w:rPr>
          <w:rFonts w:hint="eastAsia" w:ascii="Times New Roman" w:hAnsi="Times New Roman" w:eastAsia="方正仿宋_GBK" w:cs="Times New Roman"/>
          <w:sz w:val="32"/>
          <w:szCs w:val="20"/>
        </w:rPr>
        <w:t>所对应的容积率修正系数。</w:t>
      </w:r>
    </w:p>
    <w:p w14:paraId="429801E9">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6.</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土地开发程度修正值的确定</w:t>
      </w:r>
    </w:p>
    <w:p w14:paraId="45127179">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当宗地的土地开发程度与基准地价设定的土地开发程度不一致时，应根据《土地开发程度修正值表》确定开发程度修正值。</w:t>
      </w:r>
    </w:p>
    <w:p w14:paraId="3EE12E5A">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《土地开发程度修正值表》中的土地开发程度修正值为土地面积单价，应用中应按下列公式换算为建筑面积单价：</w:t>
      </w:r>
    </w:p>
    <w:p w14:paraId="14D7DFC5">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宗地地上计容部分的土地开发程度修正值（建筑面积单价）=土地开发程度修正值（土地面积单价）÷宗地容积率</w:t>
      </w:r>
    </w:p>
    <w:p w14:paraId="6666643D">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宗地地下不计容部分的土地开发程度修正值（建筑面积单价）=土地开发程度修正值（土地面积单价）÷（宗地地下不计容建筑面积÷宗地土地面积）</w:t>
      </w:r>
    </w:p>
    <w:p w14:paraId="28ED9681">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宗地同时具有地上计容部分和地下不计容部分的，评估时只计算宗地地上计容部分的土地开发程度修正值，地下不计容部分的土地开发程度不作修正。</w:t>
      </w:r>
    </w:p>
    <w:p w14:paraId="766E25D3">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7.</w:t>
      </w:r>
      <w:r>
        <w:rPr>
          <w:rFonts w:hint="eastAsia" w:ascii="Times New Roman" w:hAnsi="Times New Roman" w:eastAsia="方正仿宋_GBK" w:cs="Times New Roman"/>
          <w:sz w:val="32"/>
          <w:szCs w:val="20"/>
          <w:lang w:val="en-US" w:eastAsia="zh-CN"/>
        </w:rPr>
        <w:t xml:space="preserve"> </w:t>
      </w:r>
      <w:r>
        <w:rPr>
          <w:rFonts w:hint="eastAsia" w:ascii="Times New Roman" w:hAnsi="Times New Roman" w:eastAsia="方正仿宋_GBK" w:cs="Times New Roman"/>
          <w:sz w:val="32"/>
          <w:szCs w:val="20"/>
        </w:rPr>
        <w:t>区域和个别因素修正系数的确定</w:t>
      </w:r>
    </w:p>
    <w:tbl>
      <w:tblPr>
        <w:tblStyle w:val="10"/>
        <w:tblW w:w="0" w:type="auto"/>
        <w:tblInd w:w="454" w:type="dxa"/>
        <w:tblLayout w:type="fixed"/>
        <w:tblCellMar>
          <w:top w:w="0" w:type="dxa"/>
          <w:left w:w="0" w:type="dxa"/>
          <w:bottom w:w="0" w:type="dxa"/>
          <w:right w:w="0" w:type="dxa"/>
        </w:tblCellMar>
      </w:tblPr>
      <w:tblGrid>
        <w:gridCol w:w="4171"/>
        <w:gridCol w:w="435"/>
        <w:gridCol w:w="2331"/>
      </w:tblGrid>
      <w:tr w14:paraId="148F940A">
        <w:tblPrEx>
          <w:tblCellMar>
            <w:top w:w="0" w:type="dxa"/>
            <w:left w:w="0" w:type="dxa"/>
            <w:bottom w:w="0" w:type="dxa"/>
            <w:right w:w="0" w:type="dxa"/>
          </w:tblCellMar>
        </w:tblPrEx>
        <w:trPr>
          <w:trHeight w:val="250" w:hRule="atLeast"/>
        </w:trPr>
        <w:tc>
          <w:tcPr>
            <w:tcW w:w="4171" w:type="dxa"/>
            <w:noWrap w:val="0"/>
            <w:vAlign w:val="top"/>
          </w:tcPr>
          <w:p w14:paraId="104F674D">
            <w:pPr>
              <w:keepNext w:val="0"/>
              <w:keepLines w:val="0"/>
              <w:pageBreakBefore w:val="0"/>
              <w:widowControl w:val="0"/>
              <w:kinsoku/>
              <w:wordWrap/>
              <w:overflowPunct/>
              <w:topLinePunct w:val="0"/>
              <w:bidi w:val="0"/>
              <w:adjustRightInd w:val="0"/>
              <w:snapToGrid w:val="0"/>
              <w:spacing w:line="600" w:lineRule="exact"/>
              <w:textAlignment w:val="auto"/>
              <w:rPr>
                <w:rFonts w:hint="eastAsia" w:ascii="Times New Roman" w:hAnsi="Times New Roman" w:eastAsia="方正仿宋_GBK" w:cs="方正仿宋_GBK"/>
                <w:sz w:val="21"/>
                <w:szCs w:val="21"/>
                <w:lang w:val="en"/>
              </w:rPr>
            </w:pPr>
          </w:p>
        </w:tc>
        <w:tc>
          <w:tcPr>
            <w:tcW w:w="435" w:type="dxa"/>
            <w:noWrap w:val="0"/>
            <w:vAlign w:val="bottom"/>
          </w:tcPr>
          <w:p w14:paraId="0BA45A35">
            <w:pPr>
              <w:keepNext w:val="0"/>
              <w:keepLines w:val="0"/>
              <w:pageBreakBefore w:val="0"/>
              <w:widowControl w:val="0"/>
              <w:kinsoku/>
              <w:wordWrap/>
              <w:overflowPunct/>
              <w:topLinePunct w:val="0"/>
              <w:bidi w:val="0"/>
              <w:adjustRightInd w:val="0"/>
              <w:snapToGrid w:val="0"/>
              <w:spacing w:line="600" w:lineRule="exact"/>
              <w:jc w:val="center"/>
              <w:textAlignment w:val="auto"/>
              <w:rPr>
                <w:rFonts w:hint="eastAsia" w:ascii="Times New Roman" w:hAnsi="Times New Roman" w:eastAsia="方正仿宋_GBK" w:cs="方正仿宋_GBK"/>
                <w:sz w:val="32"/>
                <w:szCs w:val="32"/>
                <w:lang w:val="en"/>
              </w:rPr>
            </w:pPr>
            <w:r>
              <w:rPr>
                <w:rFonts w:hint="eastAsia" w:ascii="Times New Roman" w:hAnsi="Times New Roman" w:eastAsia="方正仿宋_GBK" w:cs="方正仿宋_GBK"/>
                <w:sz w:val="22"/>
                <w:szCs w:val="22"/>
                <w:lang w:val="en"/>
              </w:rPr>
              <w:t>n</w:t>
            </w:r>
          </w:p>
        </w:tc>
        <w:tc>
          <w:tcPr>
            <w:tcW w:w="2331" w:type="dxa"/>
            <w:noWrap w:val="0"/>
            <w:vAlign w:val="top"/>
          </w:tcPr>
          <w:p w14:paraId="44B7632E">
            <w:pPr>
              <w:keepNext w:val="0"/>
              <w:keepLines w:val="0"/>
              <w:pageBreakBefore w:val="0"/>
              <w:widowControl w:val="0"/>
              <w:kinsoku/>
              <w:wordWrap/>
              <w:overflowPunct/>
              <w:topLinePunct w:val="0"/>
              <w:bidi w:val="0"/>
              <w:adjustRightInd w:val="0"/>
              <w:snapToGrid w:val="0"/>
              <w:spacing w:line="600" w:lineRule="exact"/>
              <w:textAlignment w:val="auto"/>
              <w:rPr>
                <w:rFonts w:hint="eastAsia" w:ascii="Times New Roman" w:hAnsi="Times New Roman" w:eastAsia="方正仿宋_GBK" w:cs="方正仿宋_GBK"/>
                <w:sz w:val="21"/>
                <w:szCs w:val="21"/>
                <w:lang w:val="en"/>
              </w:rPr>
            </w:pPr>
          </w:p>
        </w:tc>
      </w:tr>
      <w:tr w14:paraId="0ECC2F03">
        <w:tblPrEx>
          <w:tblCellMar>
            <w:top w:w="0" w:type="dxa"/>
            <w:left w:w="0" w:type="dxa"/>
            <w:bottom w:w="0" w:type="dxa"/>
            <w:right w:w="0" w:type="dxa"/>
          </w:tblCellMar>
        </w:tblPrEx>
        <w:trPr>
          <w:trHeight w:val="529" w:hRule="atLeast"/>
        </w:trPr>
        <w:tc>
          <w:tcPr>
            <w:tcW w:w="4171" w:type="dxa"/>
            <w:noWrap w:val="0"/>
            <w:vAlign w:val="top"/>
          </w:tcPr>
          <w:p w14:paraId="78B7B8BF">
            <w:pPr>
              <w:keepNext w:val="0"/>
              <w:keepLines w:val="0"/>
              <w:pageBreakBefore w:val="0"/>
              <w:widowControl w:val="0"/>
              <w:kinsoku/>
              <w:wordWrap/>
              <w:overflowPunct/>
              <w:topLinePunct w:val="0"/>
              <w:bidi w:val="0"/>
              <w:adjustRightInd w:val="0"/>
              <w:spacing w:line="600" w:lineRule="exact"/>
              <w:jc w:val="right"/>
              <w:textAlignment w:val="auto"/>
              <w:rPr>
                <w:rFonts w:hint="eastAsia" w:ascii="Times New Roman" w:hAnsi="Times New Roman" w:eastAsia="方正仿宋_GBK" w:cs="方正仿宋_GBK"/>
                <w:sz w:val="32"/>
                <w:szCs w:val="32"/>
                <w:lang w:val="en"/>
              </w:rPr>
            </w:pPr>
            <w:r>
              <w:rPr>
                <w:rFonts w:hint="eastAsia" w:ascii="Times New Roman" w:hAnsi="Times New Roman" w:eastAsia="方正仿宋_GBK" w:cs="方正仿宋_GBK"/>
                <w:sz w:val="32"/>
                <w:szCs w:val="32"/>
              </w:rPr>
              <w:t>区域和个别因素修正系数=1+</w:t>
            </w:r>
          </w:p>
        </w:tc>
        <w:tc>
          <w:tcPr>
            <w:tcW w:w="435" w:type="dxa"/>
            <w:noWrap w:val="0"/>
            <w:vAlign w:val="center"/>
          </w:tcPr>
          <w:p w14:paraId="1EAF6657">
            <w:pPr>
              <w:keepNext w:val="0"/>
              <w:keepLines w:val="0"/>
              <w:pageBreakBefore w:val="0"/>
              <w:widowControl w:val="0"/>
              <w:kinsoku/>
              <w:wordWrap/>
              <w:overflowPunct/>
              <w:topLinePunct w:val="0"/>
              <w:bidi w:val="0"/>
              <w:adjustRightInd w:val="0"/>
              <w:snapToGrid w:val="0"/>
              <w:spacing w:line="600" w:lineRule="exact"/>
              <w:jc w:val="left"/>
              <w:textAlignment w:val="auto"/>
              <w:rPr>
                <w:rFonts w:hint="eastAsia" w:ascii="Times New Roman" w:hAnsi="Times New Roman" w:eastAsia="方正仿宋_GBK" w:cs="方正仿宋_GBK"/>
                <w:sz w:val="36"/>
                <w:szCs w:val="36"/>
                <w:lang w:val="en"/>
              </w:rPr>
            </w:pPr>
            <w:r>
              <w:rPr>
                <w:rFonts w:hint="eastAsia" w:ascii="Times New Roman" w:hAnsi="Times New Roman" w:eastAsia="方正仿宋_GBK" w:cs="方正仿宋_GBK"/>
                <w:sz w:val="48"/>
                <w:szCs w:val="48"/>
              </w:rPr>
              <w:t>∑</w:t>
            </w:r>
          </w:p>
        </w:tc>
        <w:tc>
          <w:tcPr>
            <w:tcW w:w="2331" w:type="dxa"/>
            <w:noWrap w:val="0"/>
            <w:vAlign w:val="top"/>
          </w:tcPr>
          <w:p w14:paraId="60470789">
            <w:pPr>
              <w:keepNext w:val="0"/>
              <w:keepLines w:val="0"/>
              <w:pageBreakBefore w:val="0"/>
              <w:widowControl w:val="0"/>
              <w:kinsoku/>
              <w:wordWrap/>
              <w:overflowPunct/>
              <w:topLinePunct w:val="0"/>
              <w:bidi w:val="0"/>
              <w:adjustRightInd w:val="0"/>
              <w:spacing w:line="600" w:lineRule="exact"/>
              <w:textAlignment w:val="auto"/>
              <w:rPr>
                <w:rFonts w:hint="eastAsia" w:ascii="Times New Roman" w:hAnsi="Times New Roman" w:eastAsia="方正仿宋_GBK" w:cs="方正仿宋_GBK"/>
                <w:sz w:val="32"/>
                <w:szCs w:val="32"/>
                <w:lang w:val="en"/>
              </w:rPr>
            </w:pPr>
            <w:r>
              <w:rPr>
                <w:rFonts w:hint="eastAsia" w:ascii="Times New Roman" w:hAnsi="Times New Roman" w:eastAsia="方正仿宋_GBK" w:cs="方正仿宋_GBK"/>
                <w:sz w:val="32"/>
                <w:szCs w:val="32"/>
              </w:rPr>
              <w:t>（K</w:t>
            </w:r>
            <w:r>
              <w:rPr>
                <w:rFonts w:hint="eastAsia" w:ascii="Times New Roman" w:hAnsi="Times New Roman" w:eastAsia="方正仿宋_GBK" w:cs="方正仿宋_GBK"/>
                <w:sz w:val="32"/>
                <w:szCs w:val="32"/>
                <w:vertAlign w:val="subscript"/>
                <w:lang w:val="en"/>
              </w:rPr>
              <w:t>i</w:t>
            </w:r>
            <w:r>
              <w:rPr>
                <w:rFonts w:hint="eastAsia" w:ascii="Times New Roman" w:hAnsi="Times New Roman" w:eastAsia="方正仿宋_GBK" w:cs="方正仿宋_GBK"/>
                <w:sz w:val="32"/>
                <w:szCs w:val="32"/>
                <w:lang w:val="en"/>
              </w:rPr>
              <w:t>÷100</w:t>
            </w:r>
            <w:r>
              <w:rPr>
                <w:rFonts w:hint="eastAsia" w:ascii="Times New Roman" w:hAnsi="Times New Roman" w:eastAsia="方正仿宋_GBK" w:cs="方正仿宋_GBK"/>
                <w:sz w:val="32"/>
                <w:szCs w:val="32"/>
              </w:rPr>
              <w:t>）</w:t>
            </w:r>
          </w:p>
        </w:tc>
      </w:tr>
      <w:tr w14:paraId="343C3C30">
        <w:tblPrEx>
          <w:tblCellMar>
            <w:top w:w="0" w:type="dxa"/>
            <w:left w:w="0" w:type="dxa"/>
            <w:bottom w:w="0" w:type="dxa"/>
            <w:right w:w="0" w:type="dxa"/>
          </w:tblCellMar>
        </w:tblPrEx>
        <w:trPr>
          <w:trHeight w:val="260" w:hRule="atLeast"/>
        </w:trPr>
        <w:tc>
          <w:tcPr>
            <w:tcW w:w="4171" w:type="dxa"/>
            <w:noWrap w:val="0"/>
            <w:vAlign w:val="top"/>
          </w:tcPr>
          <w:p w14:paraId="66042C4F">
            <w:pPr>
              <w:keepNext w:val="0"/>
              <w:keepLines w:val="0"/>
              <w:pageBreakBefore w:val="0"/>
              <w:widowControl w:val="0"/>
              <w:kinsoku/>
              <w:wordWrap/>
              <w:overflowPunct/>
              <w:topLinePunct w:val="0"/>
              <w:bidi w:val="0"/>
              <w:adjustRightInd w:val="0"/>
              <w:snapToGrid w:val="0"/>
              <w:spacing w:line="600" w:lineRule="exact"/>
              <w:textAlignment w:val="auto"/>
              <w:rPr>
                <w:rFonts w:hint="eastAsia" w:ascii="Times New Roman" w:hAnsi="Times New Roman" w:eastAsia="方正仿宋_GBK" w:cs="方正仿宋_GBK"/>
                <w:sz w:val="15"/>
                <w:szCs w:val="15"/>
                <w:lang w:val="en"/>
              </w:rPr>
            </w:pPr>
          </w:p>
        </w:tc>
        <w:tc>
          <w:tcPr>
            <w:tcW w:w="435" w:type="dxa"/>
            <w:noWrap w:val="0"/>
            <w:vAlign w:val="top"/>
          </w:tcPr>
          <w:p w14:paraId="51518E5B">
            <w:pPr>
              <w:keepNext w:val="0"/>
              <w:keepLines w:val="0"/>
              <w:pageBreakBefore w:val="0"/>
              <w:widowControl w:val="0"/>
              <w:kinsoku/>
              <w:wordWrap/>
              <w:overflowPunct/>
              <w:topLinePunct w:val="0"/>
              <w:bidi w:val="0"/>
              <w:adjustRightInd w:val="0"/>
              <w:snapToGrid w:val="0"/>
              <w:spacing w:line="600" w:lineRule="exact"/>
              <w:jc w:val="right"/>
              <w:textAlignment w:val="auto"/>
              <w:rPr>
                <w:rFonts w:hint="eastAsia" w:ascii="Times New Roman" w:hAnsi="Times New Roman" w:eastAsia="方正仿宋_GBK" w:cs="方正仿宋_GBK"/>
                <w:sz w:val="32"/>
                <w:szCs w:val="32"/>
                <w:lang w:val="en"/>
              </w:rPr>
            </w:pPr>
            <w:r>
              <w:rPr>
                <w:rFonts w:hint="eastAsia" w:ascii="Times New Roman" w:hAnsi="Times New Roman" w:eastAsia="方正仿宋_GBK" w:cs="方正仿宋_GBK"/>
                <w:sz w:val="22"/>
                <w:szCs w:val="22"/>
                <w:lang w:val="en"/>
              </w:rPr>
              <w:t>i=1</w:t>
            </w:r>
          </w:p>
        </w:tc>
        <w:tc>
          <w:tcPr>
            <w:tcW w:w="2331" w:type="dxa"/>
            <w:noWrap w:val="0"/>
            <w:vAlign w:val="top"/>
          </w:tcPr>
          <w:p w14:paraId="7D6A9B12">
            <w:pPr>
              <w:keepNext w:val="0"/>
              <w:keepLines w:val="0"/>
              <w:pageBreakBefore w:val="0"/>
              <w:widowControl w:val="0"/>
              <w:kinsoku/>
              <w:wordWrap/>
              <w:overflowPunct/>
              <w:topLinePunct w:val="0"/>
              <w:bidi w:val="0"/>
              <w:adjustRightInd w:val="0"/>
              <w:snapToGrid w:val="0"/>
              <w:spacing w:line="600" w:lineRule="exact"/>
              <w:textAlignment w:val="auto"/>
              <w:rPr>
                <w:rFonts w:hint="eastAsia" w:ascii="Times New Roman" w:hAnsi="Times New Roman" w:eastAsia="方正仿宋_GBK" w:cs="方正仿宋_GBK"/>
                <w:sz w:val="21"/>
                <w:szCs w:val="21"/>
                <w:lang w:val="en"/>
              </w:rPr>
            </w:pPr>
          </w:p>
        </w:tc>
      </w:tr>
    </w:tbl>
    <w:p w14:paraId="249CEB6F">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600" w:lineRule="exact"/>
        <w:ind w:left="0" w:leftChars="0" w:right="0" w:rightChars="0" w:firstLine="640" w:firstLineChars="200"/>
        <w:jc w:val="both"/>
        <w:textAlignment w:val="auto"/>
        <w:outlineLvl w:val="9"/>
        <w:rPr>
          <w:rFonts w:hint="eastAsia" w:ascii="Times New Roman" w:hAnsi="Times New Roman" w:eastAsia="方正仿宋_GBK" w:cs="Times New Roman"/>
          <w:sz w:val="32"/>
          <w:szCs w:val="20"/>
        </w:rPr>
      </w:pPr>
      <w:r>
        <w:rPr>
          <w:rFonts w:hint="eastAsia" w:ascii="Times New Roman" w:hAnsi="Times New Roman" w:eastAsia="方正仿宋_GBK" w:cs="Times New Roman"/>
          <w:sz w:val="32"/>
          <w:szCs w:val="20"/>
        </w:rPr>
        <w:t>按照《区域和个别因素修正系数表》，根据宗地各种因素情况确定每种因素的修正系数，应用上述公式测算宗地的区域和个别因素修正系数。K</w:t>
      </w:r>
      <w:r>
        <w:rPr>
          <w:rFonts w:hint="eastAsia" w:ascii="Times New Roman" w:hAnsi="Times New Roman" w:eastAsia="方正仿宋_GBK" w:cs="Times New Roman"/>
          <w:sz w:val="32"/>
          <w:szCs w:val="20"/>
          <w:vertAlign w:val="subscript"/>
        </w:rPr>
        <w:t>i</w:t>
      </w:r>
      <w:r>
        <w:rPr>
          <w:rFonts w:hint="eastAsia" w:ascii="Times New Roman" w:hAnsi="Times New Roman" w:eastAsia="方正仿宋_GBK" w:cs="Times New Roman"/>
          <w:sz w:val="32"/>
          <w:szCs w:val="20"/>
        </w:rPr>
        <w:t>为第i种因素的修正系数。</w:t>
      </w:r>
    </w:p>
    <w:p w14:paraId="4E88BDAF">
      <w:pPr>
        <w:shd w:val="clear" w:color="auto" w:fill="FFFFFF"/>
        <w:jc w:val="center"/>
        <w:rPr>
          <w:rFonts w:hint="eastAsia" w:ascii="Times New Roman" w:hAnsi="Times New Roman" w:eastAsia="方正仿宋_GBK" w:cs="Times New Roman"/>
          <w:sz w:val="36"/>
          <w:szCs w:val="36"/>
        </w:rPr>
      </w:pPr>
      <w:r>
        <w:rPr>
          <w:rFonts w:hint="eastAsia" w:ascii="Times New Roman" w:hAnsi="Times New Roman" w:eastAsia="方正小标宋_GBK" w:cs="Times New Roman"/>
          <w:sz w:val="36"/>
          <w:szCs w:val="36"/>
        </w:rPr>
        <w:br w:type="page"/>
      </w:r>
      <w:r>
        <w:rPr>
          <w:rFonts w:hint="eastAsia" w:ascii="Times New Roman" w:hAnsi="Times New Roman" w:eastAsia="方正小标宋_GBK" w:cs="Times New Roman"/>
          <w:sz w:val="36"/>
          <w:szCs w:val="36"/>
        </w:rPr>
        <w:t>土地用途修正系数表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521"/>
        <w:gridCol w:w="4320"/>
        <w:gridCol w:w="1591"/>
      </w:tblGrid>
      <w:tr w14:paraId="0945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628" w:type="dxa"/>
            <w:noWrap w:val="0"/>
            <w:vAlign w:val="center"/>
          </w:tcPr>
          <w:p w14:paraId="1B7E2055">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用途</w:t>
            </w:r>
          </w:p>
        </w:tc>
        <w:tc>
          <w:tcPr>
            <w:tcW w:w="1521" w:type="dxa"/>
            <w:noWrap w:val="0"/>
            <w:vAlign w:val="center"/>
          </w:tcPr>
          <w:p w14:paraId="71B806A6">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用途类别</w:t>
            </w:r>
          </w:p>
          <w:p w14:paraId="44BFA725">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划分</w:t>
            </w:r>
          </w:p>
        </w:tc>
        <w:tc>
          <w:tcPr>
            <w:tcW w:w="4320" w:type="dxa"/>
            <w:noWrap w:val="0"/>
            <w:vAlign w:val="center"/>
          </w:tcPr>
          <w:p w14:paraId="6EC010C0">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范围</w:t>
            </w:r>
          </w:p>
        </w:tc>
        <w:tc>
          <w:tcPr>
            <w:tcW w:w="1591" w:type="dxa"/>
            <w:noWrap w:val="0"/>
            <w:vAlign w:val="center"/>
          </w:tcPr>
          <w:p w14:paraId="594E4BC9">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用途修正</w:t>
            </w:r>
          </w:p>
          <w:p w14:paraId="2685CB65">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系数</w:t>
            </w:r>
          </w:p>
        </w:tc>
      </w:tr>
      <w:tr w14:paraId="18BD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restart"/>
            <w:noWrap w:val="0"/>
            <w:vAlign w:val="center"/>
          </w:tcPr>
          <w:p w14:paraId="48FB0B14">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商服用地</w:t>
            </w:r>
          </w:p>
        </w:tc>
        <w:tc>
          <w:tcPr>
            <w:tcW w:w="1521" w:type="dxa"/>
            <w:noWrap w:val="0"/>
            <w:vAlign w:val="center"/>
          </w:tcPr>
          <w:p w14:paraId="201EB376">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基准类别</w:t>
            </w:r>
          </w:p>
        </w:tc>
        <w:tc>
          <w:tcPr>
            <w:tcW w:w="4320" w:type="dxa"/>
            <w:noWrap w:val="0"/>
            <w:vAlign w:val="center"/>
          </w:tcPr>
          <w:p w14:paraId="2F418393">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零售商业用地、公用设施营业网点用地</w:t>
            </w:r>
            <w:r>
              <w:rPr>
                <w:rFonts w:hint="eastAsia" w:ascii="Times New Roman" w:hAnsi="Times New Roman" w:eastAsia="方正仿宋_GBK" w:cs="Tahoma"/>
                <w:kern w:val="0"/>
                <w:sz w:val="24"/>
                <w:szCs w:val="24"/>
                <w:lang w:eastAsia="zh-CN"/>
              </w:rPr>
              <w:t>（</w:t>
            </w:r>
            <w:r>
              <w:rPr>
                <w:rFonts w:hint="eastAsia" w:ascii="Times New Roman" w:hAnsi="Times New Roman" w:eastAsia="方正仿宋_GBK" w:cs="Tahoma"/>
                <w:kern w:val="0"/>
                <w:sz w:val="24"/>
                <w:szCs w:val="24"/>
              </w:rPr>
              <w:t>除加油加气站用地以外的用地</w:t>
            </w:r>
            <w:r>
              <w:rPr>
                <w:rFonts w:hint="eastAsia" w:ascii="Times New Roman" w:hAnsi="Times New Roman" w:eastAsia="方正仿宋_GBK" w:cs="Tahoma"/>
                <w:kern w:val="0"/>
                <w:sz w:val="24"/>
                <w:szCs w:val="24"/>
                <w:lang w:eastAsia="zh-CN"/>
              </w:rPr>
              <w:t>）</w:t>
            </w:r>
          </w:p>
        </w:tc>
        <w:tc>
          <w:tcPr>
            <w:tcW w:w="1591" w:type="dxa"/>
            <w:noWrap w:val="0"/>
            <w:vAlign w:val="center"/>
          </w:tcPr>
          <w:p w14:paraId="3D075CE1">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0EC5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3BFFD7FC">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restart"/>
            <w:noWrap w:val="0"/>
            <w:vAlign w:val="center"/>
          </w:tcPr>
          <w:p w14:paraId="6433A725">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其他类别</w:t>
            </w:r>
          </w:p>
        </w:tc>
        <w:tc>
          <w:tcPr>
            <w:tcW w:w="4320" w:type="dxa"/>
            <w:noWrap w:val="0"/>
            <w:vAlign w:val="center"/>
          </w:tcPr>
          <w:p w14:paraId="4CAFDF45">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spacing w:val="-6"/>
                <w:kern w:val="0"/>
                <w:sz w:val="24"/>
                <w:szCs w:val="24"/>
              </w:rPr>
              <w:t>公用设施营业网点用地</w:t>
            </w:r>
            <w:r>
              <w:rPr>
                <w:rFonts w:hint="eastAsia" w:ascii="Times New Roman" w:hAnsi="Times New Roman" w:eastAsia="方正仿宋_GBK" w:cs="Tahoma"/>
                <w:spacing w:val="-6"/>
                <w:kern w:val="0"/>
                <w:sz w:val="24"/>
                <w:szCs w:val="24"/>
                <w:lang w:eastAsia="zh-CN"/>
              </w:rPr>
              <w:t>（</w:t>
            </w:r>
            <w:r>
              <w:rPr>
                <w:rFonts w:hint="eastAsia" w:ascii="Times New Roman" w:hAnsi="Times New Roman" w:eastAsia="方正仿宋_GBK" w:cs="Tahoma"/>
                <w:spacing w:val="-6"/>
                <w:kern w:val="0"/>
                <w:sz w:val="24"/>
                <w:szCs w:val="24"/>
              </w:rPr>
              <w:t>加油加气站用地</w:t>
            </w:r>
            <w:r>
              <w:rPr>
                <w:rFonts w:hint="eastAsia" w:ascii="Times New Roman" w:hAnsi="Times New Roman" w:eastAsia="方正仿宋_GBK" w:cs="Tahoma"/>
                <w:spacing w:val="-6"/>
                <w:kern w:val="0"/>
                <w:sz w:val="24"/>
                <w:szCs w:val="24"/>
                <w:lang w:eastAsia="zh-CN"/>
              </w:rPr>
              <w:t>）</w:t>
            </w:r>
          </w:p>
        </w:tc>
        <w:tc>
          <w:tcPr>
            <w:tcW w:w="1591" w:type="dxa"/>
            <w:noWrap w:val="0"/>
            <w:vAlign w:val="center"/>
          </w:tcPr>
          <w:p w14:paraId="53545F18">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1.2</w:t>
            </w:r>
          </w:p>
        </w:tc>
      </w:tr>
      <w:tr w14:paraId="0896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23134215">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421599C4">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21BE2907">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批发市场用地</w:t>
            </w:r>
          </w:p>
        </w:tc>
        <w:tc>
          <w:tcPr>
            <w:tcW w:w="1591" w:type="dxa"/>
            <w:noWrap w:val="0"/>
            <w:vAlign w:val="center"/>
          </w:tcPr>
          <w:p w14:paraId="2FC082CE">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0.8</w:t>
            </w:r>
          </w:p>
        </w:tc>
      </w:tr>
      <w:tr w14:paraId="2583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60A9505F">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36FE8E0E">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2E3688BA">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餐饮用地</w:t>
            </w:r>
          </w:p>
        </w:tc>
        <w:tc>
          <w:tcPr>
            <w:tcW w:w="1591" w:type="dxa"/>
            <w:noWrap w:val="0"/>
            <w:vAlign w:val="center"/>
          </w:tcPr>
          <w:p w14:paraId="2144FE86">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0.9</w:t>
            </w:r>
          </w:p>
        </w:tc>
      </w:tr>
      <w:tr w14:paraId="0002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750A7D17">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52434E19">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7160D0E1">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旅馆用地</w:t>
            </w:r>
          </w:p>
        </w:tc>
        <w:tc>
          <w:tcPr>
            <w:tcW w:w="1591" w:type="dxa"/>
            <w:noWrap w:val="0"/>
            <w:vAlign w:val="center"/>
          </w:tcPr>
          <w:p w14:paraId="75334400">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0.9</w:t>
            </w:r>
          </w:p>
        </w:tc>
      </w:tr>
      <w:tr w14:paraId="478E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4EA146BD">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2694F2E4">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27F62B9F">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商务金融用地</w:t>
            </w:r>
          </w:p>
        </w:tc>
        <w:tc>
          <w:tcPr>
            <w:tcW w:w="1591" w:type="dxa"/>
            <w:noWrap w:val="0"/>
            <w:vAlign w:val="center"/>
          </w:tcPr>
          <w:p w14:paraId="563864C4">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0.9</w:t>
            </w:r>
          </w:p>
        </w:tc>
      </w:tr>
      <w:tr w14:paraId="1E1A3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0DE40FE4">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02458658">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64584414">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娱乐康体用地</w:t>
            </w:r>
          </w:p>
        </w:tc>
        <w:tc>
          <w:tcPr>
            <w:tcW w:w="1591" w:type="dxa"/>
            <w:noWrap w:val="0"/>
            <w:vAlign w:val="center"/>
          </w:tcPr>
          <w:p w14:paraId="3CDBA7A1">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0.8</w:t>
            </w:r>
          </w:p>
        </w:tc>
      </w:tr>
      <w:tr w14:paraId="5D4A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181C7796">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51C2BDCB">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76DF284C">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其他商服用地</w:t>
            </w:r>
          </w:p>
        </w:tc>
        <w:tc>
          <w:tcPr>
            <w:tcW w:w="1591" w:type="dxa"/>
            <w:noWrap w:val="0"/>
            <w:vAlign w:val="center"/>
          </w:tcPr>
          <w:p w14:paraId="20519D4A">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0.8</w:t>
            </w:r>
          </w:p>
        </w:tc>
      </w:tr>
      <w:tr w14:paraId="5C02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restart"/>
            <w:noWrap w:val="0"/>
            <w:vAlign w:val="center"/>
          </w:tcPr>
          <w:p w14:paraId="36F8177C">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工矿仓储用地</w:t>
            </w:r>
          </w:p>
        </w:tc>
        <w:tc>
          <w:tcPr>
            <w:tcW w:w="1521" w:type="dxa"/>
            <w:noWrap w:val="0"/>
            <w:vAlign w:val="center"/>
          </w:tcPr>
          <w:p w14:paraId="7E545A86">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基准类别</w:t>
            </w:r>
          </w:p>
        </w:tc>
        <w:tc>
          <w:tcPr>
            <w:tcW w:w="4320" w:type="dxa"/>
            <w:noWrap w:val="0"/>
            <w:vAlign w:val="center"/>
          </w:tcPr>
          <w:p w14:paraId="789EBBA4">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工业用地</w:t>
            </w:r>
          </w:p>
        </w:tc>
        <w:tc>
          <w:tcPr>
            <w:tcW w:w="1591" w:type="dxa"/>
            <w:noWrap w:val="0"/>
            <w:vAlign w:val="center"/>
          </w:tcPr>
          <w:p w14:paraId="4DDC2DEE">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3FF3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2D16CF24">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restart"/>
            <w:noWrap w:val="0"/>
            <w:vAlign w:val="center"/>
          </w:tcPr>
          <w:p w14:paraId="58A7E3C6">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其他类别</w:t>
            </w:r>
          </w:p>
        </w:tc>
        <w:tc>
          <w:tcPr>
            <w:tcW w:w="4320" w:type="dxa"/>
            <w:noWrap w:val="0"/>
            <w:vAlign w:val="center"/>
          </w:tcPr>
          <w:p w14:paraId="1B1DFF37">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采矿用地</w:t>
            </w:r>
          </w:p>
        </w:tc>
        <w:tc>
          <w:tcPr>
            <w:tcW w:w="1591" w:type="dxa"/>
            <w:noWrap w:val="0"/>
            <w:vAlign w:val="center"/>
          </w:tcPr>
          <w:p w14:paraId="722EC64F">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1.0</w:t>
            </w:r>
          </w:p>
        </w:tc>
      </w:tr>
      <w:tr w14:paraId="3F5D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3B099AD6">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4375DC69">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01E3B4A9">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仓储用地</w:t>
            </w:r>
          </w:p>
        </w:tc>
        <w:tc>
          <w:tcPr>
            <w:tcW w:w="1591" w:type="dxa"/>
            <w:noWrap w:val="0"/>
            <w:vAlign w:val="center"/>
          </w:tcPr>
          <w:p w14:paraId="3761C399">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1.2</w:t>
            </w:r>
          </w:p>
        </w:tc>
      </w:tr>
      <w:tr w14:paraId="61E4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noWrap w:val="0"/>
            <w:vAlign w:val="center"/>
          </w:tcPr>
          <w:p w14:paraId="4C412765">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住宅用地</w:t>
            </w:r>
          </w:p>
        </w:tc>
        <w:tc>
          <w:tcPr>
            <w:tcW w:w="1521" w:type="dxa"/>
            <w:noWrap w:val="0"/>
            <w:vAlign w:val="center"/>
          </w:tcPr>
          <w:p w14:paraId="5AA9DCB1">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基准类别</w:t>
            </w:r>
          </w:p>
        </w:tc>
        <w:tc>
          <w:tcPr>
            <w:tcW w:w="4320" w:type="dxa"/>
            <w:noWrap w:val="0"/>
            <w:vAlign w:val="center"/>
          </w:tcPr>
          <w:p w14:paraId="108529BD">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城镇住宅用地</w:t>
            </w:r>
          </w:p>
        </w:tc>
        <w:tc>
          <w:tcPr>
            <w:tcW w:w="1591" w:type="dxa"/>
            <w:noWrap w:val="0"/>
            <w:vAlign w:val="center"/>
          </w:tcPr>
          <w:p w14:paraId="7174A1C7">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7621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restart"/>
            <w:noWrap w:val="0"/>
            <w:vAlign w:val="center"/>
          </w:tcPr>
          <w:p w14:paraId="37995093">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公共管理与公共服务用地</w:t>
            </w:r>
          </w:p>
        </w:tc>
        <w:tc>
          <w:tcPr>
            <w:tcW w:w="1521" w:type="dxa"/>
            <w:noWrap w:val="0"/>
            <w:vAlign w:val="center"/>
          </w:tcPr>
          <w:p w14:paraId="365ACDA5">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基准类别</w:t>
            </w:r>
          </w:p>
        </w:tc>
        <w:tc>
          <w:tcPr>
            <w:tcW w:w="4320" w:type="dxa"/>
            <w:noWrap w:val="0"/>
            <w:vAlign w:val="center"/>
          </w:tcPr>
          <w:p w14:paraId="5703612B">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教育用地</w:t>
            </w:r>
          </w:p>
        </w:tc>
        <w:tc>
          <w:tcPr>
            <w:tcW w:w="1591" w:type="dxa"/>
            <w:noWrap w:val="0"/>
            <w:vAlign w:val="center"/>
          </w:tcPr>
          <w:p w14:paraId="58BA7B8F">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1B74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4C3DC9DD">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restart"/>
            <w:noWrap w:val="0"/>
            <w:vAlign w:val="center"/>
          </w:tcPr>
          <w:p w14:paraId="335D8670">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其他类别</w:t>
            </w:r>
          </w:p>
        </w:tc>
        <w:tc>
          <w:tcPr>
            <w:tcW w:w="4320" w:type="dxa"/>
            <w:noWrap w:val="0"/>
            <w:vAlign w:val="center"/>
          </w:tcPr>
          <w:p w14:paraId="3D4A3EE7">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机关团体用地</w:t>
            </w:r>
          </w:p>
        </w:tc>
        <w:tc>
          <w:tcPr>
            <w:tcW w:w="1591" w:type="dxa"/>
            <w:noWrap w:val="0"/>
            <w:vAlign w:val="center"/>
          </w:tcPr>
          <w:p w14:paraId="5B92CE3C">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75D8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7C617597">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0B4F09DC">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01C50230">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科研用地</w:t>
            </w:r>
          </w:p>
        </w:tc>
        <w:tc>
          <w:tcPr>
            <w:tcW w:w="1591" w:type="dxa"/>
            <w:noWrap w:val="0"/>
            <w:vAlign w:val="center"/>
          </w:tcPr>
          <w:p w14:paraId="3F6F0FCB">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r w14:paraId="492F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558C1CAA">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5132CC90">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6473CA77">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医疗卫生用地</w:t>
            </w:r>
          </w:p>
        </w:tc>
        <w:tc>
          <w:tcPr>
            <w:tcW w:w="1591" w:type="dxa"/>
            <w:noWrap w:val="0"/>
            <w:vAlign w:val="center"/>
          </w:tcPr>
          <w:p w14:paraId="0C4C07A8">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1.2</w:t>
            </w:r>
          </w:p>
        </w:tc>
      </w:tr>
      <w:tr w14:paraId="4195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4D1268EE">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570780F0">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1529E1E6">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社会福利用地</w:t>
            </w:r>
          </w:p>
        </w:tc>
        <w:tc>
          <w:tcPr>
            <w:tcW w:w="1591" w:type="dxa"/>
            <w:noWrap w:val="0"/>
            <w:vAlign w:val="center"/>
          </w:tcPr>
          <w:p w14:paraId="0D83A9DD">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0.7</w:t>
            </w:r>
          </w:p>
        </w:tc>
      </w:tr>
      <w:tr w14:paraId="59AE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73B53332">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1BAAF708">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5C4C54A6">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文化用地</w:t>
            </w:r>
          </w:p>
        </w:tc>
        <w:tc>
          <w:tcPr>
            <w:tcW w:w="1591" w:type="dxa"/>
            <w:noWrap w:val="0"/>
            <w:vAlign w:val="center"/>
          </w:tcPr>
          <w:p w14:paraId="7C0B51ED">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0.9</w:t>
            </w:r>
          </w:p>
        </w:tc>
      </w:tr>
      <w:tr w14:paraId="1C9B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4D0FCF82">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3C3499EB">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0E8C11DF">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体育用地</w:t>
            </w:r>
          </w:p>
        </w:tc>
        <w:tc>
          <w:tcPr>
            <w:tcW w:w="1591" w:type="dxa"/>
            <w:noWrap w:val="0"/>
            <w:vAlign w:val="center"/>
          </w:tcPr>
          <w:p w14:paraId="4329180D">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0.9</w:t>
            </w:r>
          </w:p>
        </w:tc>
      </w:tr>
      <w:tr w14:paraId="07F1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1D4DE676">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7CAE80C6">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1515DC6F">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公用设施用地</w:t>
            </w:r>
          </w:p>
        </w:tc>
        <w:tc>
          <w:tcPr>
            <w:tcW w:w="1591" w:type="dxa"/>
            <w:noWrap w:val="0"/>
            <w:vAlign w:val="center"/>
          </w:tcPr>
          <w:p w14:paraId="083289AB">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0.5</w:t>
            </w:r>
          </w:p>
        </w:tc>
      </w:tr>
      <w:tr w14:paraId="4ACCF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5568DF9A">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697EB0DB">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33FB8BDA">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殡葬用地</w:t>
            </w:r>
          </w:p>
        </w:tc>
        <w:tc>
          <w:tcPr>
            <w:tcW w:w="1591" w:type="dxa"/>
            <w:noWrap w:val="0"/>
            <w:vAlign w:val="center"/>
          </w:tcPr>
          <w:p w14:paraId="0388924C">
            <w:pPr>
              <w:widowControl/>
              <w:snapToGrid w:val="0"/>
              <w:spacing w:line="240" w:lineRule="auto"/>
              <w:ind w:firstLine="0" w:firstLineChars="0"/>
              <w:jc w:val="center"/>
              <w:rPr>
                <w:rFonts w:ascii="Times New Roman" w:hAnsi="Times New Roman" w:eastAsia="方正仿宋_GBK" w:cs="Tahoma"/>
                <w:kern w:val="0"/>
                <w:sz w:val="24"/>
                <w:szCs w:val="24"/>
              </w:rPr>
            </w:pPr>
            <w:r>
              <w:rPr>
                <w:rFonts w:ascii="Times New Roman" w:hAnsi="Times New Roman" w:eastAsia="方正仿宋_GBK" w:cs="Tahoma"/>
                <w:kern w:val="0"/>
                <w:sz w:val="24"/>
                <w:szCs w:val="24"/>
              </w:rPr>
              <w:t>0.8</w:t>
            </w:r>
          </w:p>
        </w:tc>
      </w:tr>
      <w:tr w14:paraId="364B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778D309A">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310E6BF6">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469DABC3">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交通运输用地</w:t>
            </w:r>
            <w:r>
              <w:rPr>
                <w:rFonts w:hint="eastAsia" w:ascii="Times New Roman" w:hAnsi="Times New Roman" w:eastAsia="方正仿宋_GBK" w:cs="Tahoma"/>
                <w:kern w:val="0"/>
                <w:sz w:val="24"/>
                <w:szCs w:val="24"/>
                <w:lang w:eastAsia="zh-CN"/>
              </w:rPr>
              <w:t>（</w:t>
            </w:r>
            <w:r>
              <w:rPr>
                <w:rFonts w:hint="eastAsia" w:ascii="Times New Roman" w:hAnsi="Times New Roman" w:eastAsia="方正仿宋_GBK" w:cs="Tahoma"/>
                <w:kern w:val="0"/>
                <w:sz w:val="24"/>
                <w:szCs w:val="24"/>
              </w:rPr>
              <w:t>城市轨道交通用地、交通服务场站用地</w:t>
            </w:r>
            <w:r>
              <w:rPr>
                <w:rFonts w:hint="eastAsia" w:ascii="Times New Roman" w:hAnsi="Times New Roman" w:eastAsia="方正仿宋_GBK" w:cs="Tahoma"/>
                <w:kern w:val="0"/>
                <w:sz w:val="24"/>
                <w:szCs w:val="24"/>
                <w:lang w:eastAsia="zh-CN"/>
              </w:rPr>
              <w:t>）</w:t>
            </w:r>
          </w:p>
        </w:tc>
        <w:tc>
          <w:tcPr>
            <w:tcW w:w="1591" w:type="dxa"/>
            <w:noWrap w:val="0"/>
            <w:vAlign w:val="center"/>
          </w:tcPr>
          <w:p w14:paraId="5A1B032C">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1.2</w:t>
            </w:r>
          </w:p>
        </w:tc>
      </w:tr>
      <w:tr w14:paraId="7CCF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628" w:type="dxa"/>
            <w:vMerge w:val="continue"/>
            <w:noWrap w:val="0"/>
            <w:vAlign w:val="center"/>
          </w:tcPr>
          <w:p w14:paraId="69D647D9">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1521" w:type="dxa"/>
            <w:vMerge w:val="continue"/>
            <w:noWrap w:val="0"/>
            <w:vAlign w:val="center"/>
          </w:tcPr>
          <w:p w14:paraId="51950D20">
            <w:pPr>
              <w:widowControl/>
              <w:snapToGrid w:val="0"/>
              <w:spacing w:line="240" w:lineRule="auto"/>
              <w:ind w:firstLine="0" w:firstLineChars="0"/>
              <w:jc w:val="center"/>
              <w:rPr>
                <w:rFonts w:ascii="Times New Roman" w:hAnsi="Times New Roman" w:eastAsia="方正仿宋_GBK" w:cs="Tahoma"/>
                <w:kern w:val="0"/>
                <w:sz w:val="24"/>
                <w:szCs w:val="24"/>
              </w:rPr>
            </w:pPr>
          </w:p>
        </w:tc>
        <w:tc>
          <w:tcPr>
            <w:tcW w:w="4320" w:type="dxa"/>
            <w:noWrap w:val="0"/>
            <w:vAlign w:val="center"/>
          </w:tcPr>
          <w:p w14:paraId="20AD2C98">
            <w:pPr>
              <w:widowControl/>
              <w:snapToGrid w:val="0"/>
              <w:spacing w:line="240" w:lineRule="auto"/>
              <w:ind w:firstLine="0" w:firstLineChars="0"/>
              <w:jc w:val="left"/>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交通运输用地</w:t>
            </w:r>
            <w:r>
              <w:rPr>
                <w:rFonts w:hint="eastAsia" w:ascii="Times New Roman" w:hAnsi="Times New Roman" w:eastAsia="方正仿宋_GBK" w:cs="Tahoma"/>
                <w:kern w:val="0"/>
                <w:sz w:val="24"/>
                <w:szCs w:val="24"/>
                <w:lang w:eastAsia="zh-CN"/>
              </w:rPr>
              <w:t>（</w:t>
            </w:r>
            <w:r>
              <w:rPr>
                <w:rFonts w:hint="eastAsia" w:ascii="Times New Roman" w:hAnsi="Times New Roman" w:eastAsia="方正仿宋_GBK" w:cs="Tahoma"/>
                <w:kern w:val="0"/>
                <w:sz w:val="24"/>
                <w:szCs w:val="24"/>
              </w:rPr>
              <w:t>除轨道交通用地、交通服务场站用地以外的交通运输用地</w:t>
            </w:r>
            <w:r>
              <w:rPr>
                <w:rFonts w:hint="eastAsia" w:ascii="Times New Roman" w:hAnsi="Times New Roman" w:eastAsia="方正仿宋_GBK" w:cs="Tahoma"/>
                <w:kern w:val="0"/>
                <w:sz w:val="24"/>
                <w:szCs w:val="24"/>
                <w:lang w:eastAsia="zh-CN"/>
              </w:rPr>
              <w:t>）</w:t>
            </w:r>
          </w:p>
        </w:tc>
        <w:tc>
          <w:tcPr>
            <w:tcW w:w="1591" w:type="dxa"/>
            <w:noWrap w:val="0"/>
            <w:vAlign w:val="center"/>
          </w:tcPr>
          <w:p w14:paraId="2AA67A81">
            <w:pPr>
              <w:widowControl/>
              <w:snapToGrid w:val="0"/>
              <w:spacing w:line="240" w:lineRule="auto"/>
              <w:ind w:firstLine="0" w:firstLineChars="0"/>
              <w:jc w:val="center"/>
              <w:rPr>
                <w:rFonts w:ascii="Times New Roman" w:hAnsi="Times New Roman" w:eastAsia="方正仿宋_GBK" w:cs="Tahoma"/>
                <w:kern w:val="0"/>
                <w:sz w:val="24"/>
                <w:szCs w:val="24"/>
              </w:rPr>
            </w:pPr>
            <w:r>
              <w:rPr>
                <w:rFonts w:hint="eastAsia" w:ascii="Times New Roman" w:hAnsi="Times New Roman" w:eastAsia="方正仿宋_GBK" w:cs="Tahoma"/>
                <w:kern w:val="0"/>
                <w:sz w:val="24"/>
                <w:szCs w:val="24"/>
              </w:rPr>
              <w:t>1</w:t>
            </w:r>
          </w:p>
        </w:tc>
      </w:tr>
    </w:tbl>
    <w:p w14:paraId="6B0574A5">
      <w:pPr>
        <w:shd w:val="clear" w:color="auto" w:fill="FFFFFF"/>
        <w:jc w:val="center"/>
        <w:rPr>
          <w:rFonts w:hint="eastAsia" w:ascii="Times New Roman" w:hAnsi="Times New Roman" w:eastAsia="方正小标宋_GBK" w:cs="Times New Roman"/>
          <w:sz w:val="36"/>
          <w:szCs w:val="36"/>
        </w:rPr>
      </w:pPr>
      <w:r>
        <w:rPr>
          <w:rFonts w:hint="eastAsia" w:ascii="方正仿宋_GBK" w:hAnsi="方正仿宋_GBK" w:eastAsia="方正仿宋_GBK" w:cs="方正仿宋_GBK"/>
          <w:sz w:val="24"/>
          <w:szCs w:val="24"/>
        </w:rPr>
        <w:t>备注：表中未注明具体内涵的用途按照本说明中土地用途分类的内涵界定。</w:t>
      </w:r>
      <w:r>
        <w:rPr>
          <w:rFonts w:hint="eastAsia" w:ascii="Times New Roman" w:hAnsi="Times New Roman" w:eastAsia="宋体" w:cs="宋体"/>
          <w:sz w:val="24"/>
          <w:szCs w:val="24"/>
        </w:rPr>
        <w:br w:type="page"/>
      </w:r>
      <w:r>
        <w:rPr>
          <w:rFonts w:hint="eastAsia" w:ascii="Times New Roman" w:hAnsi="Times New Roman" w:eastAsia="方正小标宋_GBK" w:cs="Times New Roman"/>
          <w:sz w:val="36"/>
          <w:szCs w:val="36"/>
        </w:rPr>
        <w:t>容积率修正系数表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1783"/>
        <w:gridCol w:w="1783"/>
        <w:gridCol w:w="3097"/>
      </w:tblGrid>
      <w:tr w14:paraId="6B27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97" w:type="dxa"/>
            <w:tcBorders>
              <w:tl2br w:val="nil"/>
              <w:tr2bl w:val="nil"/>
            </w:tcBorders>
            <w:noWrap w:val="0"/>
            <w:vAlign w:val="center"/>
          </w:tcPr>
          <w:p w14:paraId="2CB4AFFB">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容积率</w:t>
            </w:r>
          </w:p>
        </w:tc>
        <w:tc>
          <w:tcPr>
            <w:tcW w:w="1783" w:type="dxa"/>
            <w:tcBorders>
              <w:tl2br w:val="nil"/>
              <w:tr2bl w:val="nil"/>
            </w:tcBorders>
            <w:noWrap w:val="0"/>
            <w:vAlign w:val="center"/>
          </w:tcPr>
          <w:p w14:paraId="5A7BC92D">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商服</w:t>
            </w:r>
          </w:p>
        </w:tc>
        <w:tc>
          <w:tcPr>
            <w:tcW w:w="1783" w:type="dxa"/>
            <w:tcBorders>
              <w:tl2br w:val="nil"/>
              <w:tr2bl w:val="nil"/>
            </w:tcBorders>
            <w:noWrap w:val="0"/>
            <w:vAlign w:val="center"/>
          </w:tcPr>
          <w:p w14:paraId="61BF77D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住宅</w:t>
            </w:r>
          </w:p>
        </w:tc>
        <w:tc>
          <w:tcPr>
            <w:tcW w:w="3097" w:type="dxa"/>
            <w:tcBorders>
              <w:tl2br w:val="nil"/>
              <w:tr2bl w:val="nil"/>
            </w:tcBorders>
            <w:noWrap w:val="0"/>
            <w:vAlign w:val="center"/>
          </w:tcPr>
          <w:p w14:paraId="0D15969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公共管理与公共服务</w:t>
            </w:r>
          </w:p>
        </w:tc>
      </w:tr>
      <w:tr w14:paraId="1259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043EA25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w:t>
            </w:r>
          </w:p>
        </w:tc>
        <w:tc>
          <w:tcPr>
            <w:tcW w:w="1783" w:type="dxa"/>
            <w:tcBorders>
              <w:tl2br w:val="nil"/>
              <w:tr2bl w:val="nil"/>
            </w:tcBorders>
            <w:noWrap w:val="0"/>
            <w:vAlign w:val="center"/>
          </w:tcPr>
          <w:p w14:paraId="5FAB9CDC">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1.76</w:t>
            </w:r>
          </w:p>
        </w:tc>
        <w:tc>
          <w:tcPr>
            <w:tcW w:w="1783" w:type="dxa"/>
            <w:tcBorders>
              <w:tl2br w:val="nil"/>
              <w:tr2bl w:val="nil"/>
            </w:tcBorders>
            <w:noWrap w:val="0"/>
            <w:vAlign w:val="center"/>
          </w:tcPr>
          <w:p w14:paraId="556EAE58">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1.55</w:t>
            </w:r>
          </w:p>
        </w:tc>
        <w:tc>
          <w:tcPr>
            <w:tcW w:w="3097" w:type="dxa"/>
            <w:tcBorders>
              <w:tl2br w:val="nil"/>
              <w:tr2bl w:val="nil"/>
            </w:tcBorders>
            <w:noWrap w:val="0"/>
            <w:vAlign w:val="center"/>
          </w:tcPr>
          <w:p w14:paraId="303FE198">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1.1</w:t>
            </w:r>
          </w:p>
        </w:tc>
      </w:tr>
      <w:tr w14:paraId="3634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139D61A1">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1.5</w:t>
            </w:r>
          </w:p>
        </w:tc>
        <w:tc>
          <w:tcPr>
            <w:tcW w:w="1783" w:type="dxa"/>
            <w:tcBorders>
              <w:tl2br w:val="nil"/>
              <w:tr2bl w:val="nil"/>
            </w:tcBorders>
            <w:noWrap w:val="0"/>
            <w:vAlign w:val="center"/>
          </w:tcPr>
          <w:p w14:paraId="4CAB7DE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1.38</w:t>
            </w:r>
          </w:p>
        </w:tc>
        <w:tc>
          <w:tcPr>
            <w:tcW w:w="1783" w:type="dxa"/>
            <w:tcBorders>
              <w:tl2br w:val="nil"/>
              <w:tr2bl w:val="nil"/>
            </w:tcBorders>
            <w:noWrap w:val="0"/>
            <w:vAlign w:val="center"/>
          </w:tcPr>
          <w:p w14:paraId="7D0D25DD">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1.19</w:t>
            </w:r>
          </w:p>
        </w:tc>
        <w:tc>
          <w:tcPr>
            <w:tcW w:w="3097" w:type="dxa"/>
            <w:tcBorders>
              <w:tl2br w:val="nil"/>
              <w:tr2bl w:val="nil"/>
            </w:tcBorders>
            <w:noWrap w:val="0"/>
            <w:vAlign w:val="center"/>
          </w:tcPr>
          <w:p w14:paraId="67DFE49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w:t>
            </w:r>
          </w:p>
        </w:tc>
      </w:tr>
      <w:tr w14:paraId="6E3C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750010DB">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2</w:t>
            </w:r>
          </w:p>
        </w:tc>
        <w:tc>
          <w:tcPr>
            <w:tcW w:w="1783" w:type="dxa"/>
            <w:tcBorders>
              <w:tl2br w:val="nil"/>
              <w:tr2bl w:val="nil"/>
            </w:tcBorders>
            <w:noWrap w:val="0"/>
            <w:vAlign w:val="center"/>
          </w:tcPr>
          <w:p w14:paraId="4A82221D">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1.15</w:t>
            </w:r>
          </w:p>
        </w:tc>
        <w:tc>
          <w:tcPr>
            <w:tcW w:w="1783" w:type="dxa"/>
            <w:tcBorders>
              <w:tl2br w:val="nil"/>
              <w:tr2bl w:val="nil"/>
            </w:tcBorders>
            <w:noWrap w:val="0"/>
            <w:vAlign w:val="center"/>
          </w:tcPr>
          <w:p w14:paraId="63441043">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w:t>
            </w:r>
          </w:p>
        </w:tc>
        <w:tc>
          <w:tcPr>
            <w:tcW w:w="3097" w:type="dxa"/>
            <w:tcBorders>
              <w:tl2br w:val="nil"/>
              <w:tr2bl w:val="nil"/>
            </w:tcBorders>
            <w:noWrap w:val="0"/>
            <w:vAlign w:val="center"/>
          </w:tcPr>
          <w:p w14:paraId="3F32A9AB">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0.94</w:t>
            </w:r>
          </w:p>
        </w:tc>
      </w:tr>
      <w:tr w14:paraId="55EF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031B26D5">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2.5</w:t>
            </w:r>
          </w:p>
        </w:tc>
        <w:tc>
          <w:tcPr>
            <w:tcW w:w="1783" w:type="dxa"/>
            <w:tcBorders>
              <w:tl2br w:val="nil"/>
              <w:tr2bl w:val="nil"/>
            </w:tcBorders>
            <w:noWrap w:val="0"/>
            <w:vAlign w:val="center"/>
          </w:tcPr>
          <w:p w14:paraId="62A6B92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1</w:t>
            </w:r>
          </w:p>
        </w:tc>
        <w:tc>
          <w:tcPr>
            <w:tcW w:w="1783" w:type="dxa"/>
            <w:tcBorders>
              <w:tl2br w:val="nil"/>
              <w:tr2bl w:val="nil"/>
            </w:tcBorders>
            <w:noWrap w:val="0"/>
            <w:vAlign w:val="center"/>
          </w:tcPr>
          <w:p w14:paraId="4DDA664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w:t>
            </w:r>
            <w:r>
              <w:rPr>
                <w:rFonts w:ascii="Times New Roman" w:hAnsi="Times New Roman" w:eastAsia="方正仿宋_GBK" w:cs="Tahoma"/>
                <w:color w:val="auto"/>
                <w:sz w:val="24"/>
                <w:szCs w:val="18"/>
              </w:rPr>
              <w:t>95</w:t>
            </w:r>
          </w:p>
        </w:tc>
        <w:tc>
          <w:tcPr>
            <w:tcW w:w="3097" w:type="dxa"/>
            <w:tcBorders>
              <w:tl2br w:val="nil"/>
              <w:tr2bl w:val="nil"/>
            </w:tcBorders>
            <w:noWrap w:val="0"/>
            <w:vAlign w:val="center"/>
          </w:tcPr>
          <w:p w14:paraId="3D209C0B">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0.9</w:t>
            </w:r>
          </w:p>
        </w:tc>
      </w:tr>
      <w:tr w14:paraId="6625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323405C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3</w:t>
            </w:r>
          </w:p>
        </w:tc>
        <w:tc>
          <w:tcPr>
            <w:tcW w:w="1783" w:type="dxa"/>
            <w:tcBorders>
              <w:tl2br w:val="nil"/>
              <w:tr2bl w:val="nil"/>
            </w:tcBorders>
            <w:noWrap w:val="0"/>
            <w:vAlign w:val="center"/>
          </w:tcPr>
          <w:p w14:paraId="4CF2BE9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0.9</w:t>
            </w:r>
            <w:r>
              <w:rPr>
                <w:rFonts w:ascii="Times New Roman" w:hAnsi="Times New Roman" w:eastAsia="方正仿宋_GBK" w:cs="Tahoma"/>
                <w:color w:val="auto"/>
                <w:sz w:val="24"/>
                <w:szCs w:val="18"/>
              </w:rPr>
              <w:t>4</w:t>
            </w:r>
          </w:p>
        </w:tc>
        <w:tc>
          <w:tcPr>
            <w:tcW w:w="1783" w:type="dxa"/>
            <w:tcBorders>
              <w:tl2br w:val="nil"/>
              <w:tr2bl w:val="nil"/>
            </w:tcBorders>
            <w:noWrap w:val="0"/>
            <w:vAlign w:val="center"/>
          </w:tcPr>
          <w:p w14:paraId="14D0007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w:t>
            </w:r>
            <w:r>
              <w:rPr>
                <w:rFonts w:ascii="Times New Roman" w:hAnsi="Times New Roman" w:eastAsia="方正仿宋_GBK" w:cs="Tahoma"/>
                <w:color w:val="auto"/>
                <w:sz w:val="24"/>
                <w:szCs w:val="18"/>
              </w:rPr>
              <w:t>91</w:t>
            </w:r>
          </w:p>
        </w:tc>
        <w:tc>
          <w:tcPr>
            <w:tcW w:w="3097" w:type="dxa"/>
            <w:tcBorders>
              <w:tl2br w:val="nil"/>
              <w:tr2bl w:val="nil"/>
            </w:tcBorders>
            <w:noWrap w:val="0"/>
            <w:vAlign w:val="center"/>
          </w:tcPr>
          <w:p w14:paraId="3FC1F60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0.86</w:t>
            </w:r>
          </w:p>
        </w:tc>
      </w:tr>
      <w:tr w14:paraId="003E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2D811DC8">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3.5</w:t>
            </w:r>
          </w:p>
        </w:tc>
        <w:tc>
          <w:tcPr>
            <w:tcW w:w="1783" w:type="dxa"/>
            <w:tcBorders>
              <w:tl2br w:val="nil"/>
              <w:tr2bl w:val="nil"/>
            </w:tcBorders>
            <w:noWrap w:val="0"/>
            <w:vAlign w:val="center"/>
          </w:tcPr>
          <w:p w14:paraId="51E9FCF0">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0.8</w:t>
            </w:r>
            <w:r>
              <w:rPr>
                <w:rFonts w:ascii="Times New Roman" w:hAnsi="Times New Roman" w:eastAsia="方正仿宋_GBK" w:cs="Tahoma"/>
                <w:color w:val="auto"/>
                <w:sz w:val="24"/>
                <w:szCs w:val="18"/>
              </w:rPr>
              <w:t>8</w:t>
            </w:r>
          </w:p>
        </w:tc>
        <w:tc>
          <w:tcPr>
            <w:tcW w:w="1783" w:type="dxa"/>
            <w:tcBorders>
              <w:tl2br w:val="nil"/>
              <w:tr2bl w:val="nil"/>
            </w:tcBorders>
            <w:noWrap w:val="0"/>
            <w:vAlign w:val="center"/>
          </w:tcPr>
          <w:p w14:paraId="44A46F10">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0.88</w:t>
            </w:r>
          </w:p>
        </w:tc>
        <w:tc>
          <w:tcPr>
            <w:tcW w:w="3097" w:type="dxa"/>
            <w:tcBorders>
              <w:tl2br w:val="nil"/>
              <w:tr2bl w:val="nil"/>
            </w:tcBorders>
            <w:noWrap w:val="0"/>
            <w:vAlign w:val="center"/>
          </w:tcPr>
          <w:p w14:paraId="01D8A2C0">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0.83</w:t>
            </w:r>
          </w:p>
        </w:tc>
      </w:tr>
      <w:tr w14:paraId="101F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97" w:type="dxa"/>
            <w:tcBorders>
              <w:tl2br w:val="nil"/>
              <w:tr2bl w:val="nil"/>
            </w:tcBorders>
            <w:noWrap w:val="0"/>
            <w:vAlign w:val="center"/>
          </w:tcPr>
          <w:p w14:paraId="20B1AD7E">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4</w:t>
            </w:r>
          </w:p>
        </w:tc>
        <w:tc>
          <w:tcPr>
            <w:tcW w:w="1783" w:type="dxa"/>
            <w:tcBorders>
              <w:tl2br w:val="nil"/>
              <w:tr2bl w:val="nil"/>
            </w:tcBorders>
            <w:noWrap w:val="0"/>
            <w:vAlign w:val="center"/>
          </w:tcPr>
          <w:p w14:paraId="5136DED2">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w:t>
            </w:r>
            <w:r>
              <w:rPr>
                <w:rFonts w:ascii="Times New Roman" w:hAnsi="Times New Roman" w:eastAsia="方正仿宋_GBK" w:cs="Tahoma"/>
                <w:color w:val="auto"/>
                <w:sz w:val="24"/>
                <w:szCs w:val="18"/>
              </w:rPr>
              <w:t>84</w:t>
            </w:r>
          </w:p>
        </w:tc>
        <w:tc>
          <w:tcPr>
            <w:tcW w:w="1783" w:type="dxa"/>
            <w:tcBorders>
              <w:tl2br w:val="nil"/>
              <w:tr2bl w:val="nil"/>
            </w:tcBorders>
            <w:noWrap w:val="0"/>
            <w:vAlign w:val="center"/>
          </w:tcPr>
          <w:p w14:paraId="7B844FAE">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w:t>
            </w:r>
            <w:r>
              <w:rPr>
                <w:rFonts w:ascii="Times New Roman" w:hAnsi="Times New Roman" w:eastAsia="方正仿宋_GBK" w:cs="Tahoma"/>
                <w:color w:val="auto"/>
                <w:sz w:val="24"/>
                <w:szCs w:val="18"/>
              </w:rPr>
              <w:t>86</w:t>
            </w:r>
          </w:p>
        </w:tc>
        <w:tc>
          <w:tcPr>
            <w:tcW w:w="3097" w:type="dxa"/>
            <w:tcBorders>
              <w:tl2br w:val="nil"/>
              <w:tr2bl w:val="nil"/>
            </w:tcBorders>
            <w:noWrap w:val="0"/>
            <w:vAlign w:val="center"/>
          </w:tcPr>
          <w:p w14:paraId="1873F708">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0.81</w:t>
            </w:r>
          </w:p>
        </w:tc>
      </w:tr>
    </w:tbl>
    <w:p w14:paraId="37255239">
      <w:pPr>
        <w:shd w:val="clear" w:color="auto" w:fill="FFFFFF"/>
        <w:jc w:val="center"/>
        <w:rPr>
          <w:rFonts w:hint="eastAsia" w:ascii="Times New Roman" w:hAnsi="Times New Roman" w:eastAsia="方正小标宋_GBK" w:cs="Times New Roman"/>
          <w:sz w:val="36"/>
          <w:szCs w:val="36"/>
        </w:rPr>
      </w:pPr>
    </w:p>
    <w:p w14:paraId="16885881">
      <w:pPr>
        <w:shd w:val="clear" w:color="auto" w:fill="FFFFFF"/>
        <w:jc w:val="center"/>
        <w:rPr>
          <w:rFonts w:hint="eastAsia"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地下空间修正系数表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2350"/>
        <w:gridCol w:w="2394"/>
        <w:gridCol w:w="2443"/>
      </w:tblGrid>
      <w:tr w14:paraId="497CC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73" w:type="dxa"/>
            <w:tcBorders>
              <w:tl2br w:val="nil"/>
              <w:tr2bl w:val="nil"/>
            </w:tcBorders>
            <w:noWrap w:val="0"/>
            <w:vAlign w:val="center"/>
          </w:tcPr>
          <w:p w14:paraId="01D69E1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地下空间用途</w:t>
            </w:r>
          </w:p>
        </w:tc>
        <w:tc>
          <w:tcPr>
            <w:tcW w:w="2350" w:type="dxa"/>
            <w:tcBorders>
              <w:tl2br w:val="nil"/>
              <w:tr2bl w:val="nil"/>
            </w:tcBorders>
            <w:noWrap w:val="0"/>
            <w:vAlign w:val="center"/>
          </w:tcPr>
          <w:p w14:paraId="2688FABE">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适用的基准地价</w:t>
            </w:r>
          </w:p>
        </w:tc>
        <w:tc>
          <w:tcPr>
            <w:tcW w:w="2394" w:type="dxa"/>
            <w:tcBorders>
              <w:tl2br w:val="nil"/>
              <w:tr2bl w:val="nil"/>
            </w:tcBorders>
            <w:noWrap w:val="0"/>
            <w:vAlign w:val="center"/>
          </w:tcPr>
          <w:p w14:paraId="751EF9D3">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楼层</w:t>
            </w:r>
          </w:p>
        </w:tc>
        <w:tc>
          <w:tcPr>
            <w:tcW w:w="2443" w:type="dxa"/>
            <w:tcBorders>
              <w:tl2br w:val="nil"/>
              <w:tr2bl w:val="nil"/>
            </w:tcBorders>
            <w:noWrap w:val="0"/>
            <w:vAlign w:val="center"/>
          </w:tcPr>
          <w:p w14:paraId="1257CC70">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地下空间修正系数表</w:t>
            </w:r>
          </w:p>
        </w:tc>
      </w:tr>
      <w:tr w14:paraId="597A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vMerge w:val="restart"/>
            <w:tcBorders>
              <w:tl2br w:val="nil"/>
              <w:tr2bl w:val="nil"/>
            </w:tcBorders>
            <w:noWrap w:val="0"/>
            <w:vAlign w:val="center"/>
          </w:tcPr>
          <w:p w14:paraId="45B7A2D2">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商业</w:t>
            </w:r>
          </w:p>
        </w:tc>
        <w:tc>
          <w:tcPr>
            <w:tcW w:w="2350" w:type="dxa"/>
            <w:vMerge w:val="restart"/>
            <w:tcBorders>
              <w:tl2br w:val="nil"/>
              <w:tr2bl w:val="nil"/>
            </w:tcBorders>
            <w:noWrap w:val="0"/>
            <w:vAlign w:val="center"/>
          </w:tcPr>
          <w:p w14:paraId="0BED304E">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商业用途基准类别</w:t>
            </w:r>
          </w:p>
        </w:tc>
        <w:tc>
          <w:tcPr>
            <w:tcW w:w="2394" w:type="dxa"/>
            <w:tcBorders>
              <w:tl2br w:val="nil"/>
              <w:tr2bl w:val="nil"/>
            </w:tcBorders>
            <w:noWrap w:val="0"/>
            <w:vAlign w:val="center"/>
          </w:tcPr>
          <w:p w14:paraId="0C842B8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地下第一层</w:t>
            </w:r>
          </w:p>
        </w:tc>
        <w:tc>
          <w:tcPr>
            <w:tcW w:w="2443" w:type="dxa"/>
            <w:tcBorders>
              <w:tl2br w:val="nil"/>
              <w:tr2bl w:val="nil"/>
            </w:tcBorders>
            <w:noWrap w:val="0"/>
            <w:vAlign w:val="center"/>
          </w:tcPr>
          <w:p w14:paraId="16378635">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0.50</w:t>
            </w:r>
          </w:p>
        </w:tc>
      </w:tr>
      <w:tr w14:paraId="475C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vMerge w:val="continue"/>
            <w:tcBorders>
              <w:tl2br w:val="nil"/>
              <w:tr2bl w:val="nil"/>
            </w:tcBorders>
            <w:noWrap w:val="0"/>
            <w:vAlign w:val="center"/>
          </w:tcPr>
          <w:p w14:paraId="2B8085DF">
            <w:pPr>
              <w:snapToGrid w:val="0"/>
              <w:jc w:val="center"/>
              <w:rPr>
                <w:rFonts w:ascii="Times New Roman" w:hAnsi="Times New Roman" w:eastAsia="方正仿宋_GBK" w:cs="Tahoma"/>
                <w:color w:val="auto"/>
                <w:sz w:val="24"/>
                <w:szCs w:val="18"/>
              </w:rPr>
            </w:pPr>
          </w:p>
        </w:tc>
        <w:tc>
          <w:tcPr>
            <w:tcW w:w="2350" w:type="dxa"/>
            <w:vMerge w:val="continue"/>
            <w:tcBorders>
              <w:tl2br w:val="nil"/>
              <w:tr2bl w:val="nil"/>
            </w:tcBorders>
            <w:noWrap w:val="0"/>
            <w:vAlign w:val="center"/>
          </w:tcPr>
          <w:p w14:paraId="095EBF2D">
            <w:pPr>
              <w:snapToGrid w:val="0"/>
              <w:jc w:val="center"/>
              <w:rPr>
                <w:rFonts w:ascii="Times New Roman" w:hAnsi="Times New Roman" w:eastAsia="方正仿宋_GBK" w:cs="Tahoma"/>
                <w:color w:val="auto"/>
                <w:sz w:val="24"/>
                <w:szCs w:val="18"/>
              </w:rPr>
            </w:pPr>
          </w:p>
        </w:tc>
        <w:tc>
          <w:tcPr>
            <w:tcW w:w="2394" w:type="dxa"/>
            <w:tcBorders>
              <w:tl2br w:val="nil"/>
              <w:tr2bl w:val="nil"/>
            </w:tcBorders>
            <w:noWrap w:val="0"/>
            <w:vAlign w:val="center"/>
          </w:tcPr>
          <w:p w14:paraId="29506EF5">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地下第二层及以下</w:t>
            </w:r>
          </w:p>
        </w:tc>
        <w:tc>
          <w:tcPr>
            <w:tcW w:w="2443" w:type="dxa"/>
            <w:tcBorders>
              <w:tl2br w:val="nil"/>
              <w:tr2bl w:val="nil"/>
            </w:tcBorders>
            <w:noWrap w:val="0"/>
            <w:vAlign w:val="center"/>
          </w:tcPr>
          <w:p w14:paraId="3949B90B">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0.25</w:t>
            </w:r>
          </w:p>
        </w:tc>
      </w:tr>
      <w:tr w14:paraId="42A2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tcBorders>
              <w:tl2br w:val="nil"/>
              <w:tr2bl w:val="nil"/>
            </w:tcBorders>
            <w:noWrap w:val="0"/>
            <w:vAlign w:val="center"/>
          </w:tcPr>
          <w:p w14:paraId="228353AA">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住宅</w:t>
            </w:r>
          </w:p>
        </w:tc>
        <w:tc>
          <w:tcPr>
            <w:tcW w:w="2350" w:type="dxa"/>
            <w:tcBorders>
              <w:tl2br w:val="nil"/>
              <w:tr2bl w:val="nil"/>
            </w:tcBorders>
            <w:noWrap w:val="0"/>
            <w:vAlign w:val="center"/>
          </w:tcPr>
          <w:p w14:paraId="0B80F799">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住宅用途基准类别</w:t>
            </w:r>
          </w:p>
        </w:tc>
        <w:tc>
          <w:tcPr>
            <w:tcW w:w="2394" w:type="dxa"/>
            <w:tcBorders>
              <w:tl2br w:val="nil"/>
              <w:tr2bl w:val="nil"/>
            </w:tcBorders>
            <w:noWrap w:val="0"/>
            <w:vAlign w:val="center"/>
          </w:tcPr>
          <w:p w14:paraId="1991C14D">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地下各层</w:t>
            </w:r>
          </w:p>
        </w:tc>
        <w:tc>
          <w:tcPr>
            <w:tcW w:w="2443" w:type="dxa"/>
            <w:tcBorders>
              <w:tl2br w:val="nil"/>
              <w:tr2bl w:val="nil"/>
            </w:tcBorders>
            <w:noWrap w:val="0"/>
            <w:vAlign w:val="center"/>
          </w:tcPr>
          <w:p w14:paraId="463248E3">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0.20</w:t>
            </w:r>
          </w:p>
        </w:tc>
      </w:tr>
      <w:tr w14:paraId="45F8E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tcBorders>
              <w:tl2br w:val="nil"/>
              <w:tr2bl w:val="nil"/>
            </w:tcBorders>
            <w:noWrap w:val="0"/>
            <w:vAlign w:val="center"/>
          </w:tcPr>
          <w:p w14:paraId="79534CD5">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公共管理与公共服务</w:t>
            </w:r>
          </w:p>
        </w:tc>
        <w:tc>
          <w:tcPr>
            <w:tcW w:w="2350" w:type="dxa"/>
            <w:tcBorders>
              <w:tl2br w:val="nil"/>
              <w:tr2bl w:val="nil"/>
            </w:tcBorders>
            <w:noWrap w:val="0"/>
            <w:vAlign w:val="center"/>
          </w:tcPr>
          <w:p w14:paraId="16657E23">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公共管理与公共服务基准类别</w:t>
            </w:r>
          </w:p>
        </w:tc>
        <w:tc>
          <w:tcPr>
            <w:tcW w:w="2394" w:type="dxa"/>
            <w:tcBorders>
              <w:tl2br w:val="nil"/>
              <w:tr2bl w:val="nil"/>
            </w:tcBorders>
            <w:noWrap w:val="0"/>
            <w:vAlign w:val="center"/>
          </w:tcPr>
          <w:p w14:paraId="0E48F34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地下各层</w:t>
            </w:r>
          </w:p>
        </w:tc>
        <w:tc>
          <w:tcPr>
            <w:tcW w:w="2443" w:type="dxa"/>
            <w:tcBorders>
              <w:tl2br w:val="nil"/>
              <w:tr2bl w:val="nil"/>
            </w:tcBorders>
            <w:noWrap w:val="0"/>
            <w:vAlign w:val="center"/>
          </w:tcPr>
          <w:p w14:paraId="44E0D35B">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0.20</w:t>
            </w:r>
          </w:p>
        </w:tc>
      </w:tr>
      <w:tr w14:paraId="4418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tcBorders>
              <w:tl2br w:val="nil"/>
              <w:tr2bl w:val="nil"/>
            </w:tcBorders>
            <w:noWrap w:val="0"/>
            <w:vAlign w:val="center"/>
          </w:tcPr>
          <w:p w14:paraId="2890067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工矿仓储</w:t>
            </w:r>
          </w:p>
        </w:tc>
        <w:tc>
          <w:tcPr>
            <w:tcW w:w="2350" w:type="dxa"/>
            <w:tcBorders>
              <w:tl2br w:val="nil"/>
              <w:tr2bl w:val="nil"/>
            </w:tcBorders>
            <w:noWrap w:val="0"/>
            <w:vAlign w:val="center"/>
          </w:tcPr>
          <w:p w14:paraId="2EEE074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工业用途基准类别</w:t>
            </w:r>
          </w:p>
        </w:tc>
        <w:tc>
          <w:tcPr>
            <w:tcW w:w="2394" w:type="dxa"/>
            <w:tcBorders>
              <w:tl2br w:val="nil"/>
              <w:tr2bl w:val="nil"/>
            </w:tcBorders>
            <w:noWrap w:val="0"/>
            <w:vAlign w:val="center"/>
          </w:tcPr>
          <w:p w14:paraId="4F25D676">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地下各层</w:t>
            </w:r>
          </w:p>
        </w:tc>
        <w:tc>
          <w:tcPr>
            <w:tcW w:w="2443" w:type="dxa"/>
            <w:tcBorders>
              <w:tl2br w:val="nil"/>
              <w:tr2bl w:val="nil"/>
            </w:tcBorders>
            <w:noWrap w:val="0"/>
            <w:vAlign w:val="center"/>
          </w:tcPr>
          <w:p w14:paraId="2674DE31">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0.30</w:t>
            </w:r>
          </w:p>
        </w:tc>
      </w:tr>
      <w:tr w14:paraId="0914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3" w:type="dxa"/>
            <w:tcBorders>
              <w:tl2br w:val="nil"/>
              <w:tr2bl w:val="nil"/>
            </w:tcBorders>
            <w:noWrap w:val="0"/>
            <w:vAlign w:val="center"/>
          </w:tcPr>
          <w:p w14:paraId="37611817">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车库</w:t>
            </w:r>
          </w:p>
        </w:tc>
        <w:tc>
          <w:tcPr>
            <w:tcW w:w="2350" w:type="dxa"/>
            <w:tcBorders>
              <w:tl2br w:val="nil"/>
              <w:tr2bl w:val="nil"/>
            </w:tcBorders>
            <w:noWrap w:val="0"/>
            <w:vAlign w:val="center"/>
          </w:tcPr>
          <w:p w14:paraId="00EBC238">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商业用途基准类别</w:t>
            </w:r>
          </w:p>
        </w:tc>
        <w:tc>
          <w:tcPr>
            <w:tcW w:w="2394" w:type="dxa"/>
            <w:tcBorders>
              <w:tl2br w:val="nil"/>
              <w:tr2bl w:val="nil"/>
            </w:tcBorders>
            <w:noWrap w:val="0"/>
            <w:vAlign w:val="center"/>
          </w:tcPr>
          <w:p w14:paraId="5373D25E">
            <w:pPr>
              <w:snapToGrid w:val="0"/>
              <w:jc w:val="center"/>
              <w:rPr>
                <w:rFonts w:ascii="Times New Roman" w:hAnsi="Times New Roman" w:eastAsia="方正仿宋_GBK" w:cs="Tahoma"/>
                <w:color w:val="auto"/>
                <w:sz w:val="24"/>
                <w:szCs w:val="18"/>
              </w:rPr>
            </w:pPr>
            <w:r>
              <w:rPr>
                <w:rFonts w:hint="eastAsia" w:ascii="Times New Roman" w:hAnsi="Times New Roman" w:eastAsia="方正仿宋_GBK" w:cs="Tahoma"/>
                <w:color w:val="auto"/>
                <w:sz w:val="24"/>
                <w:szCs w:val="18"/>
              </w:rPr>
              <w:t>地下各层</w:t>
            </w:r>
          </w:p>
        </w:tc>
        <w:tc>
          <w:tcPr>
            <w:tcW w:w="2443" w:type="dxa"/>
            <w:tcBorders>
              <w:tl2br w:val="nil"/>
              <w:tr2bl w:val="nil"/>
            </w:tcBorders>
            <w:noWrap w:val="0"/>
            <w:vAlign w:val="center"/>
          </w:tcPr>
          <w:p w14:paraId="13C6551A">
            <w:pPr>
              <w:snapToGrid w:val="0"/>
              <w:jc w:val="center"/>
              <w:rPr>
                <w:rFonts w:ascii="Times New Roman" w:hAnsi="Times New Roman" w:eastAsia="方正仿宋_GBK" w:cs="Tahoma"/>
                <w:color w:val="auto"/>
                <w:sz w:val="24"/>
                <w:szCs w:val="18"/>
              </w:rPr>
            </w:pPr>
            <w:r>
              <w:rPr>
                <w:rFonts w:ascii="Times New Roman" w:hAnsi="Times New Roman" w:eastAsia="方正仿宋_GBK" w:cs="Tahoma"/>
                <w:color w:val="auto"/>
                <w:sz w:val="24"/>
                <w:szCs w:val="18"/>
              </w:rPr>
              <w:t>0.20</w:t>
            </w:r>
          </w:p>
        </w:tc>
      </w:tr>
    </w:tbl>
    <w:p w14:paraId="645B7518">
      <w:pPr>
        <w:shd w:val="clear" w:color="auto" w:fill="FFFFFF"/>
        <w:jc w:val="both"/>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备注：地下空间指地下不计容建筑面积。</w:t>
      </w:r>
    </w:p>
    <w:p w14:paraId="6C55A1D3">
      <w:pPr>
        <w:shd w:val="clear" w:color="auto" w:fill="FFFFFF"/>
        <w:jc w:val="center"/>
        <w:rPr>
          <w:rFonts w:hint="eastAsia" w:ascii="Times New Roman" w:hAnsi="Times New Roman" w:eastAsia="方正小标宋_GBK" w:cs="Times New Roman"/>
          <w:sz w:val="36"/>
          <w:szCs w:val="36"/>
        </w:rPr>
      </w:pPr>
    </w:p>
    <w:p w14:paraId="0D5B5F1E">
      <w:pPr>
        <w:keepNext w:val="0"/>
        <w:keepLines w:val="0"/>
        <w:pageBreakBefore w:val="0"/>
        <w:widowControl w:val="0"/>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土地开发程度修正值表</w:t>
      </w:r>
    </w:p>
    <w:p w14:paraId="23ED6817">
      <w:pPr>
        <w:adjustRightInd w:val="0"/>
        <w:snapToGrid w:val="0"/>
        <w:spacing w:line="600" w:lineRule="exact"/>
        <w:ind w:firstLine="480"/>
        <w:jc w:val="right"/>
        <w:rPr>
          <w:rFonts w:hint="eastAsia" w:ascii="Times New Roman" w:hAnsi="Times New Roman" w:eastAsia="方正仿宋_GBK" w:cs="Times New Roman"/>
          <w:sz w:val="24"/>
          <w:szCs w:val="20"/>
        </w:rPr>
      </w:pPr>
      <w:r>
        <w:rPr>
          <w:rFonts w:hint="eastAsia" w:ascii="Times New Roman" w:hAnsi="Times New Roman" w:eastAsia="方正仿宋_GBK" w:cs="Times New Roman"/>
          <w:sz w:val="24"/>
          <w:szCs w:val="20"/>
        </w:rPr>
        <w:t>单位：元</w:t>
      </w:r>
      <w:r>
        <w:rPr>
          <w:rFonts w:ascii="Times New Roman" w:hAnsi="Times New Roman" w:eastAsia="方正仿宋_GBK" w:cs="Times New Roman"/>
          <w:sz w:val="24"/>
          <w:szCs w:val="20"/>
        </w:rPr>
        <w:t>/</w:t>
      </w:r>
      <w:r>
        <w:rPr>
          <w:rFonts w:hint="eastAsia" w:ascii="Times New Roman" w:hAnsi="Times New Roman" w:eastAsia="方正仿宋_GBK" w:cs="Times New Roman"/>
          <w:sz w:val="24"/>
          <w:szCs w:val="20"/>
        </w:rPr>
        <w:t>平方米（土地面积）</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801"/>
        <w:gridCol w:w="1066"/>
        <w:gridCol w:w="1065"/>
        <w:gridCol w:w="801"/>
        <w:gridCol w:w="801"/>
        <w:gridCol w:w="1065"/>
        <w:gridCol w:w="1329"/>
        <w:gridCol w:w="801"/>
      </w:tblGrid>
      <w:tr w14:paraId="5BB08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31" w:type="dxa"/>
            <w:tcBorders>
              <w:tl2br w:val="nil"/>
              <w:tr2bl w:val="nil"/>
            </w:tcBorders>
            <w:noWrap w:val="0"/>
            <w:vAlign w:val="center"/>
          </w:tcPr>
          <w:p w14:paraId="1BAEF449">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开发程度</w:t>
            </w:r>
          </w:p>
        </w:tc>
        <w:tc>
          <w:tcPr>
            <w:tcW w:w="801" w:type="dxa"/>
            <w:tcBorders>
              <w:tl2br w:val="nil"/>
              <w:tr2bl w:val="nil"/>
            </w:tcBorders>
            <w:noWrap w:val="0"/>
            <w:vAlign w:val="center"/>
          </w:tcPr>
          <w:p w14:paraId="2785F9F2">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通路</w:t>
            </w:r>
          </w:p>
        </w:tc>
        <w:tc>
          <w:tcPr>
            <w:tcW w:w="1066" w:type="dxa"/>
            <w:tcBorders>
              <w:tl2br w:val="nil"/>
              <w:tr2bl w:val="nil"/>
            </w:tcBorders>
            <w:noWrap w:val="0"/>
            <w:vAlign w:val="center"/>
          </w:tcPr>
          <w:p w14:paraId="7339DEA2">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通上水</w:t>
            </w:r>
          </w:p>
        </w:tc>
        <w:tc>
          <w:tcPr>
            <w:tcW w:w="1065" w:type="dxa"/>
            <w:tcBorders>
              <w:tl2br w:val="nil"/>
              <w:tr2bl w:val="nil"/>
            </w:tcBorders>
            <w:noWrap w:val="0"/>
            <w:vAlign w:val="center"/>
          </w:tcPr>
          <w:p w14:paraId="42227B80">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通下水</w:t>
            </w:r>
          </w:p>
        </w:tc>
        <w:tc>
          <w:tcPr>
            <w:tcW w:w="801" w:type="dxa"/>
            <w:tcBorders>
              <w:tl2br w:val="nil"/>
              <w:tr2bl w:val="nil"/>
            </w:tcBorders>
            <w:noWrap w:val="0"/>
            <w:vAlign w:val="center"/>
          </w:tcPr>
          <w:p w14:paraId="1EBD805C">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通电</w:t>
            </w:r>
          </w:p>
        </w:tc>
        <w:tc>
          <w:tcPr>
            <w:tcW w:w="801" w:type="dxa"/>
            <w:tcBorders>
              <w:tl2br w:val="nil"/>
              <w:tr2bl w:val="nil"/>
            </w:tcBorders>
            <w:noWrap w:val="0"/>
            <w:vAlign w:val="center"/>
          </w:tcPr>
          <w:p w14:paraId="29250F78">
            <w:pPr>
              <w:snapToGrid w:val="0"/>
              <w:jc w:val="center"/>
              <w:rPr>
                <w:rFonts w:hint="eastAsia" w:ascii="Times New Roman" w:hAnsi="Times New Roman" w:eastAsia="方正仿宋_GBK" w:cs="Tahoma"/>
                <w:color w:val="auto"/>
                <w:sz w:val="24"/>
                <w:szCs w:val="21"/>
                <w:u w:val="none" w:color="000000"/>
                <w:lang w:eastAsia="zh-CN"/>
              </w:rPr>
            </w:pPr>
            <w:r>
              <w:rPr>
                <w:rFonts w:hint="eastAsia" w:ascii="Times New Roman" w:hAnsi="Times New Roman" w:eastAsia="方正仿宋_GBK" w:cs="Tahoma"/>
                <w:color w:val="auto"/>
                <w:sz w:val="24"/>
                <w:szCs w:val="21"/>
                <w:u w:val="none" w:color="000000"/>
              </w:rPr>
              <w:t>通</w:t>
            </w:r>
            <w:r>
              <w:rPr>
                <w:rFonts w:hint="eastAsia" w:ascii="Times New Roman" w:hAnsi="Times New Roman" w:eastAsia="方正仿宋_GBK" w:cs="Tahoma"/>
                <w:color w:val="auto"/>
                <w:sz w:val="24"/>
                <w:szCs w:val="21"/>
                <w:u w:val="none" w:color="000000"/>
                <w:lang w:eastAsia="zh-CN"/>
              </w:rPr>
              <w:t>讯</w:t>
            </w:r>
          </w:p>
        </w:tc>
        <w:tc>
          <w:tcPr>
            <w:tcW w:w="1065" w:type="dxa"/>
            <w:tcBorders>
              <w:tl2br w:val="nil"/>
              <w:tr2bl w:val="nil"/>
            </w:tcBorders>
            <w:noWrap w:val="0"/>
            <w:vAlign w:val="center"/>
          </w:tcPr>
          <w:p w14:paraId="62D75A77">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通燃气</w:t>
            </w:r>
          </w:p>
        </w:tc>
        <w:tc>
          <w:tcPr>
            <w:tcW w:w="1329" w:type="dxa"/>
            <w:tcBorders>
              <w:tl2br w:val="nil"/>
              <w:tr2bl w:val="nil"/>
            </w:tcBorders>
            <w:noWrap w:val="0"/>
            <w:vAlign w:val="center"/>
          </w:tcPr>
          <w:p w14:paraId="678BFC00">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场地平整</w:t>
            </w:r>
          </w:p>
        </w:tc>
        <w:tc>
          <w:tcPr>
            <w:tcW w:w="801" w:type="dxa"/>
            <w:tcBorders>
              <w:tl2br w:val="nil"/>
              <w:tr2bl w:val="nil"/>
            </w:tcBorders>
            <w:noWrap w:val="0"/>
            <w:vAlign w:val="center"/>
          </w:tcPr>
          <w:p w14:paraId="6E7A0889">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合计</w:t>
            </w:r>
          </w:p>
        </w:tc>
      </w:tr>
      <w:tr w14:paraId="6E50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1" w:type="dxa"/>
            <w:tcBorders>
              <w:tl2br w:val="nil"/>
              <w:tr2bl w:val="nil"/>
            </w:tcBorders>
            <w:noWrap w:val="0"/>
            <w:vAlign w:val="center"/>
          </w:tcPr>
          <w:p w14:paraId="3C8D96EB">
            <w:pPr>
              <w:snapToGrid w:val="0"/>
              <w:jc w:val="center"/>
              <w:rPr>
                <w:rFonts w:ascii="Times New Roman" w:hAnsi="Times New Roman" w:eastAsia="方正仿宋_GBK" w:cs="Tahoma"/>
                <w:color w:val="auto"/>
                <w:sz w:val="24"/>
                <w:szCs w:val="21"/>
                <w:u w:val="none" w:color="000000"/>
              </w:rPr>
            </w:pPr>
            <w:r>
              <w:rPr>
                <w:rFonts w:hint="eastAsia" w:ascii="Times New Roman" w:hAnsi="Times New Roman" w:eastAsia="方正仿宋_GBK" w:cs="Tahoma"/>
                <w:color w:val="auto"/>
                <w:sz w:val="24"/>
                <w:szCs w:val="21"/>
                <w:u w:val="none" w:color="000000"/>
              </w:rPr>
              <w:t>开发费用</w:t>
            </w:r>
          </w:p>
        </w:tc>
        <w:tc>
          <w:tcPr>
            <w:tcW w:w="801" w:type="dxa"/>
            <w:tcBorders>
              <w:tl2br w:val="nil"/>
              <w:tr2bl w:val="nil"/>
            </w:tcBorders>
            <w:noWrap w:val="0"/>
            <w:vAlign w:val="center"/>
          </w:tcPr>
          <w:p w14:paraId="4C7E731E">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20</w:t>
            </w:r>
          </w:p>
        </w:tc>
        <w:tc>
          <w:tcPr>
            <w:tcW w:w="1066" w:type="dxa"/>
            <w:tcBorders>
              <w:tl2br w:val="nil"/>
              <w:tr2bl w:val="nil"/>
            </w:tcBorders>
            <w:noWrap w:val="0"/>
            <w:vAlign w:val="center"/>
          </w:tcPr>
          <w:p w14:paraId="241927F0">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10</w:t>
            </w:r>
          </w:p>
        </w:tc>
        <w:tc>
          <w:tcPr>
            <w:tcW w:w="1065" w:type="dxa"/>
            <w:tcBorders>
              <w:tl2br w:val="nil"/>
              <w:tr2bl w:val="nil"/>
            </w:tcBorders>
            <w:noWrap w:val="0"/>
            <w:vAlign w:val="center"/>
          </w:tcPr>
          <w:p w14:paraId="541AF508">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15</w:t>
            </w:r>
          </w:p>
        </w:tc>
        <w:tc>
          <w:tcPr>
            <w:tcW w:w="801" w:type="dxa"/>
            <w:tcBorders>
              <w:tl2br w:val="nil"/>
              <w:tr2bl w:val="nil"/>
            </w:tcBorders>
            <w:noWrap w:val="0"/>
            <w:vAlign w:val="center"/>
          </w:tcPr>
          <w:p w14:paraId="697DF130">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15</w:t>
            </w:r>
          </w:p>
        </w:tc>
        <w:tc>
          <w:tcPr>
            <w:tcW w:w="801" w:type="dxa"/>
            <w:tcBorders>
              <w:tl2br w:val="nil"/>
              <w:tr2bl w:val="nil"/>
            </w:tcBorders>
            <w:noWrap w:val="0"/>
            <w:vAlign w:val="center"/>
          </w:tcPr>
          <w:p w14:paraId="4D6A2707">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10</w:t>
            </w:r>
          </w:p>
        </w:tc>
        <w:tc>
          <w:tcPr>
            <w:tcW w:w="1065" w:type="dxa"/>
            <w:tcBorders>
              <w:tl2br w:val="nil"/>
              <w:tr2bl w:val="nil"/>
            </w:tcBorders>
            <w:noWrap w:val="0"/>
            <w:vAlign w:val="center"/>
          </w:tcPr>
          <w:p w14:paraId="1C7A0362">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20</w:t>
            </w:r>
          </w:p>
        </w:tc>
        <w:tc>
          <w:tcPr>
            <w:tcW w:w="1329" w:type="dxa"/>
            <w:tcBorders>
              <w:tl2br w:val="nil"/>
              <w:tr2bl w:val="nil"/>
            </w:tcBorders>
            <w:noWrap w:val="0"/>
            <w:vAlign w:val="center"/>
          </w:tcPr>
          <w:p w14:paraId="3A5E882F">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30</w:t>
            </w:r>
          </w:p>
        </w:tc>
        <w:tc>
          <w:tcPr>
            <w:tcW w:w="801" w:type="dxa"/>
            <w:tcBorders>
              <w:tl2br w:val="nil"/>
              <w:tr2bl w:val="nil"/>
            </w:tcBorders>
            <w:noWrap w:val="0"/>
            <w:vAlign w:val="center"/>
          </w:tcPr>
          <w:p w14:paraId="1F09FA8B">
            <w:pPr>
              <w:snapToGrid w:val="0"/>
              <w:jc w:val="center"/>
              <w:rPr>
                <w:rFonts w:ascii="Times New Roman" w:hAnsi="Times New Roman" w:eastAsia="方正仿宋_GBK" w:cs="Tahoma"/>
                <w:color w:val="auto"/>
                <w:sz w:val="24"/>
                <w:szCs w:val="21"/>
                <w:u w:val="none" w:color="000000"/>
              </w:rPr>
            </w:pPr>
            <w:r>
              <w:rPr>
                <w:rFonts w:ascii="Times New Roman" w:hAnsi="Times New Roman" w:eastAsia="方正仿宋_GBK" w:cs="Tahoma"/>
                <w:color w:val="auto"/>
                <w:sz w:val="24"/>
                <w:szCs w:val="21"/>
              </w:rPr>
              <w:t>120</w:t>
            </w:r>
          </w:p>
        </w:tc>
      </w:tr>
    </w:tbl>
    <w:p w14:paraId="351BF638">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Times New Roman" w:hAnsi="Times New Roman" w:eastAsia="宋体" w:cs="Times New Roman"/>
          <w:sz w:val="24"/>
          <w:szCs w:val="20"/>
        </w:rPr>
      </w:pPr>
      <w:r>
        <w:rPr>
          <w:rFonts w:hint="eastAsia" w:ascii="Times New Roman" w:hAnsi="Times New Roman" w:eastAsia="宋体" w:cs="Times New Roman"/>
          <w:sz w:val="24"/>
          <w:szCs w:val="20"/>
        </w:rPr>
        <w:br w:type="page"/>
      </w:r>
      <w:bookmarkStart w:id="0" w:name="_Toc12302230"/>
      <w:bookmarkStart w:id="1" w:name="_Toc9331202"/>
      <w:bookmarkStart w:id="2" w:name="_Toc9272789"/>
      <w:bookmarkStart w:id="3" w:name="_Toc12368128"/>
    </w:p>
    <w:p w14:paraId="180EDA37">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Times New Roman" w:hAnsi="Times New Roman" w:eastAsia="方正小标宋_GBK" w:cs="Times New Roman"/>
          <w:sz w:val="36"/>
          <w:szCs w:val="36"/>
        </w:rPr>
      </w:pPr>
      <w:r>
        <w:rPr>
          <w:rFonts w:hint="eastAsia" w:ascii="Times New Roman" w:hAnsi="Times New Roman" w:eastAsia="方正小标宋_GBK" w:cs="Times New Roman"/>
          <w:sz w:val="36"/>
          <w:szCs w:val="36"/>
        </w:rPr>
        <w:t>区域和个别因素修正系数表</w:t>
      </w:r>
      <w:bookmarkEnd w:id="0"/>
      <w:bookmarkEnd w:id="1"/>
      <w:bookmarkEnd w:id="2"/>
      <w:bookmarkEnd w:id="3"/>
    </w:p>
    <w:p w14:paraId="5EFDF011">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Times New Roman" w:hAnsi="Times New Roman" w:eastAsia="方正小标宋_GBK" w:cs="Times New Roman"/>
          <w:sz w:val="30"/>
          <w:szCs w:val="30"/>
        </w:rPr>
      </w:pPr>
    </w:p>
    <w:p w14:paraId="35AF2BFF">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Times New Roman" w:hAnsi="Times New Roman" w:eastAsia="方正小标宋_GBK" w:cs="Times New Roman"/>
          <w:sz w:val="30"/>
          <w:szCs w:val="30"/>
        </w:rPr>
      </w:pPr>
      <w:r>
        <w:rPr>
          <w:rFonts w:hint="eastAsia" w:ascii="Times New Roman" w:hAnsi="Times New Roman" w:eastAsia="方正小标宋_GBK" w:cs="Times New Roman"/>
          <w:sz w:val="30"/>
          <w:szCs w:val="30"/>
        </w:rPr>
        <w:t>长寿区商服用地基准地价修正因素指标说明及修正系数表</w:t>
      </w:r>
    </w:p>
    <w:p w14:paraId="0D063349">
      <w:pPr>
        <w:pStyle w:val="2"/>
        <w:keepNext w:val="0"/>
        <w:keepLines w:val="0"/>
        <w:pageBreakBefore w:val="0"/>
        <w:widowControl w:val="0"/>
        <w:kinsoku/>
        <w:wordWrap/>
        <w:overflowPunct/>
        <w:topLinePunct w:val="0"/>
        <w:bidi w:val="0"/>
        <w:adjustRightInd w:val="0"/>
        <w:spacing w:line="600" w:lineRule="exact"/>
        <w:textAlignment w:val="auto"/>
        <w:rPr>
          <w:rFonts w:hint="eastAsia"/>
          <w:lang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1"/>
        <w:gridCol w:w="609"/>
        <w:gridCol w:w="765"/>
        <w:gridCol w:w="726"/>
        <w:gridCol w:w="858"/>
        <w:gridCol w:w="897"/>
        <w:gridCol w:w="891"/>
        <w:gridCol w:w="793"/>
        <w:gridCol w:w="566"/>
        <w:gridCol w:w="491"/>
        <w:gridCol w:w="598"/>
        <w:gridCol w:w="598"/>
        <w:gridCol w:w="497"/>
      </w:tblGrid>
      <w:tr w14:paraId="2832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985" w:type="dxa"/>
            <w:gridSpan w:val="3"/>
            <w:vMerge w:val="restart"/>
            <w:tcBorders>
              <w:tl2br w:val="nil"/>
              <w:tr2bl w:val="nil"/>
            </w:tcBorders>
            <w:noWrap w:val="0"/>
            <w:vAlign w:val="center"/>
          </w:tcPr>
          <w:p w14:paraId="164EE4C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宗地修正因素</w:t>
            </w:r>
          </w:p>
        </w:tc>
        <w:tc>
          <w:tcPr>
            <w:tcW w:w="4165" w:type="dxa"/>
            <w:gridSpan w:val="5"/>
            <w:tcBorders>
              <w:tl2br w:val="nil"/>
              <w:tr2bl w:val="nil"/>
            </w:tcBorders>
            <w:noWrap w:val="0"/>
            <w:vAlign w:val="center"/>
          </w:tcPr>
          <w:p w14:paraId="3063431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指标说明</w:t>
            </w:r>
          </w:p>
        </w:tc>
        <w:tc>
          <w:tcPr>
            <w:tcW w:w="2750" w:type="dxa"/>
            <w:gridSpan w:val="5"/>
            <w:tcBorders>
              <w:tl2br w:val="nil"/>
              <w:tr2bl w:val="nil"/>
            </w:tcBorders>
            <w:noWrap w:val="0"/>
            <w:vAlign w:val="center"/>
          </w:tcPr>
          <w:p w14:paraId="6868117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修正系数</w:t>
            </w:r>
          </w:p>
        </w:tc>
      </w:tr>
      <w:tr w14:paraId="03EF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1985" w:type="dxa"/>
            <w:gridSpan w:val="3"/>
            <w:vMerge w:val="continue"/>
            <w:tcBorders>
              <w:tl2br w:val="nil"/>
              <w:tr2bl w:val="nil"/>
            </w:tcBorders>
            <w:noWrap w:val="0"/>
            <w:vAlign w:val="center"/>
          </w:tcPr>
          <w:p w14:paraId="3F77443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26" w:type="dxa"/>
            <w:tcBorders>
              <w:tl2br w:val="nil"/>
              <w:tr2bl w:val="nil"/>
            </w:tcBorders>
            <w:noWrap w:val="0"/>
            <w:vAlign w:val="center"/>
          </w:tcPr>
          <w:p w14:paraId="15B4538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858" w:type="dxa"/>
            <w:tcBorders>
              <w:tl2br w:val="nil"/>
              <w:tr2bl w:val="nil"/>
            </w:tcBorders>
            <w:noWrap w:val="0"/>
            <w:vAlign w:val="center"/>
          </w:tcPr>
          <w:p w14:paraId="4A7C6EB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897" w:type="dxa"/>
            <w:tcBorders>
              <w:tl2br w:val="nil"/>
              <w:tr2bl w:val="nil"/>
            </w:tcBorders>
            <w:noWrap w:val="0"/>
            <w:vAlign w:val="center"/>
          </w:tcPr>
          <w:p w14:paraId="1E4CF9A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91" w:type="dxa"/>
            <w:tcBorders>
              <w:tl2br w:val="nil"/>
              <w:tr2bl w:val="nil"/>
            </w:tcBorders>
            <w:noWrap w:val="0"/>
            <w:vAlign w:val="center"/>
          </w:tcPr>
          <w:p w14:paraId="70D4701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793" w:type="dxa"/>
            <w:tcBorders>
              <w:tl2br w:val="nil"/>
              <w:tr2bl w:val="nil"/>
            </w:tcBorders>
            <w:noWrap w:val="0"/>
            <w:vAlign w:val="center"/>
          </w:tcPr>
          <w:p w14:paraId="6130FE6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c>
          <w:tcPr>
            <w:tcW w:w="566" w:type="dxa"/>
            <w:tcBorders>
              <w:tl2br w:val="nil"/>
              <w:tr2bl w:val="nil"/>
            </w:tcBorders>
            <w:noWrap w:val="0"/>
            <w:vAlign w:val="center"/>
          </w:tcPr>
          <w:p w14:paraId="765B3A0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491" w:type="dxa"/>
            <w:tcBorders>
              <w:tl2br w:val="nil"/>
              <w:tr2bl w:val="nil"/>
            </w:tcBorders>
            <w:noWrap w:val="0"/>
            <w:vAlign w:val="center"/>
          </w:tcPr>
          <w:p w14:paraId="4EDCABB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598" w:type="dxa"/>
            <w:tcBorders>
              <w:tl2br w:val="nil"/>
              <w:tr2bl w:val="nil"/>
            </w:tcBorders>
            <w:noWrap w:val="0"/>
            <w:vAlign w:val="center"/>
          </w:tcPr>
          <w:p w14:paraId="25CFB9D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598" w:type="dxa"/>
            <w:tcBorders>
              <w:tl2br w:val="nil"/>
              <w:tr2bl w:val="nil"/>
            </w:tcBorders>
            <w:noWrap w:val="0"/>
            <w:vAlign w:val="center"/>
          </w:tcPr>
          <w:p w14:paraId="30DE26C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497" w:type="dxa"/>
            <w:tcBorders>
              <w:tl2br w:val="nil"/>
              <w:tr2bl w:val="nil"/>
            </w:tcBorders>
            <w:noWrap w:val="0"/>
            <w:vAlign w:val="center"/>
          </w:tcPr>
          <w:p w14:paraId="764776D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r>
      <w:tr w14:paraId="63767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restart"/>
            <w:tcBorders>
              <w:tl2br w:val="nil"/>
              <w:tr2bl w:val="nil"/>
            </w:tcBorders>
            <w:noWrap w:val="0"/>
            <w:vAlign w:val="center"/>
          </w:tcPr>
          <w:p w14:paraId="36733FB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区域因素</w:t>
            </w:r>
          </w:p>
        </w:tc>
        <w:tc>
          <w:tcPr>
            <w:tcW w:w="609" w:type="dxa"/>
            <w:vMerge w:val="restart"/>
            <w:tcBorders>
              <w:tl2br w:val="nil"/>
              <w:tr2bl w:val="nil"/>
            </w:tcBorders>
            <w:noWrap w:val="0"/>
            <w:vAlign w:val="center"/>
          </w:tcPr>
          <w:p w14:paraId="489FD69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商服繁华度</w:t>
            </w:r>
          </w:p>
        </w:tc>
        <w:tc>
          <w:tcPr>
            <w:tcW w:w="765" w:type="dxa"/>
            <w:tcBorders>
              <w:tl2br w:val="nil"/>
              <w:tr2bl w:val="nil"/>
            </w:tcBorders>
            <w:noWrap w:val="0"/>
            <w:vAlign w:val="center"/>
          </w:tcPr>
          <w:p w14:paraId="10EC890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距商服中心距离</w:t>
            </w:r>
          </w:p>
        </w:tc>
        <w:tc>
          <w:tcPr>
            <w:tcW w:w="726" w:type="dxa"/>
            <w:tcBorders>
              <w:tl2br w:val="nil"/>
              <w:tr2bl w:val="nil"/>
            </w:tcBorders>
            <w:noWrap w:val="0"/>
            <w:vAlign w:val="center"/>
          </w:tcPr>
          <w:p w14:paraId="10193B7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＜200米</w:t>
            </w:r>
          </w:p>
        </w:tc>
        <w:tc>
          <w:tcPr>
            <w:tcW w:w="858" w:type="dxa"/>
            <w:tcBorders>
              <w:tl2br w:val="nil"/>
              <w:tr2bl w:val="nil"/>
            </w:tcBorders>
            <w:noWrap w:val="0"/>
            <w:vAlign w:val="center"/>
          </w:tcPr>
          <w:p w14:paraId="600098F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200-500米</w:t>
            </w:r>
          </w:p>
        </w:tc>
        <w:tc>
          <w:tcPr>
            <w:tcW w:w="897" w:type="dxa"/>
            <w:tcBorders>
              <w:tl2br w:val="nil"/>
              <w:tr2bl w:val="nil"/>
            </w:tcBorders>
            <w:noWrap w:val="0"/>
            <w:vAlign w:val="center"/>
          </w:tcPr>
          <w:p w14:paraId="153CCAE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91" w:type="dxa"/>
            <w:tcBorders>
              <w:tl2br w:val="nil"/>
              <w:tr2bl w:val="nil"/>
            </w:tcBorders>
            <w:noWrap w:val="0"/>
            <w:vAlign w:val="center"/>
          </w:tcPr>
          <w:p w14:paraId="08E8658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1000-1500米</w:t>
            </w:r>
          </w:p>
        </w:tc>
        <w:tc>
          <w:tcPr>
            <w:tcW w:w="793" w:type="dxa"/>
            <w:tcBorders>
              <w:tl2br w:val="nil"/>
              <w:tr2bl w:val="nil"/>
            </w:tcBorders>
            <w:noWrap w:val="0"/>
            <w:vAlign w:val="center"/>
          </w:tcPr>
          <w:p w14:paraId="07497D4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＞1500米</w:t>
            </w:r>
          </w:p>
        </w:tc>
        <w:tc>
          <w:tcPr>
            <w:tcW w:w="566" w:type="dxa"/>
            <w:tcBorders>
              <w:tl2br w:val="nil"/>
              <w:tr2bl w:val="nil"/>
            </w:tcBorders>
            <w:noWrap w:val="0"/>
            <w:vAlign w:val="center"/>
          </w:tcPr>
          <w:p w14:paraId="7CE2FE2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w:t>
            </w:r>
          </w:p>
        </w:tc>
        <w:tc>
          <w:tcPr>
            <w:tcW w:w="491" w:type="dxa"/>
            <w:tcBorders>
              <w:tl2br w:val="nil"/>
              <w:tr2bl w:val="nil"/>
            </w:tcBorders>
            <w:noWrap w:val="0"/>
            <w:vAlign w:val="center"/>
          </w:tcPr>
          <w:p w14:paraId="2155B9C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1.5 </w:t>
            </w:r>
          </w:p>
        </w:tc>
        <w:tc>
          <w:tcPr>
            <w:tcW w:w="598" w:type="dxa"/>
            <w:tcBorders>
              <w:tl2br w:val="nil"/>
              <w:tr2bl w:val="nil"/>
            </w:tcBorders>
            <w:noWrap w:val="0"/>
            <w:vAlign w:val="center"/>
          </w:tcPr>
          <w:p w14:paraId="02EB368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7A52F5E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-1.5 </w:t>
            </w:r>
          </w:p>
        </w:tc>
        <w:tc>
          <w:tcPr>
            <w:tcW w:w="497" w:type="dxa"/>
            <w:tcBorders>
              <w:tl2br w:val="nil"/>
              <w:tr2bl w:val="nil"/>
            </w:tcBorders>
            <w:noWrap w:val="0"/>
            <w:vAlign w:val="center"/>
          </w:tcPr>
          <w:p w14:paraId="432DFF3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-3.0 </w:t>
            </w:r>
          </w:p>
        </w:tc>
      </w:tr>
      <w:tr w14:paraId="7959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0153F5E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6F9B3CA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6D2CF89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商服网点密度</w:t>
            </w:r>
          </w:p>
        </w:tc>
        <w:tc>
          <w:tcPr>
            <w:tcW w:w="726" w:type="dxa"/>
            <w:tcBorders>
              <w:tl2br w:val="nil"/>
              <w:tr2bl w:val="nil"/>
            </w:tcBorders>
            <w:noWrap w:val="0"/>
            <w:vAlign w:val="center"/>
          </w:tcPr>
          <w:p w14:paraId="26C3E17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密集</w:t>
            </w:r>
          </w:p>
        </w:tc>
        <w:tc>
          <w:tcPr>
            <w:tcW w:w="858" w:type="dxa"/>
            <w:tcBorders>
              <w:tl2br w:val="nil"/>
              <w:tr2bl w:val="nil"/>
            </w:tcBorders>
            <w:noWrap w:val="0"/>
            <w:vAlign w:val="center"/>
          </w:tcPr>
          <w:p w14:paraId="2913600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较密集</w:t>
            </w:r>
          </w:p>
        </w:tc>
        <w:tc>
          <w:tcPr>
            <w:tcW w:w="897" w:type="dxa"/>
            <w:tcBorders>
              <w:tl2br w:val="nil"/>
              <w:tr2bl w:val="nil"/>
            </w:tcBorders>
            <w:noWrap w:val="0"/>
            <w:vAlign w:val="center"/>
          </w:tcPr>
          <w:p w14:paraId="69A80C2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91" w:type="dxa"/>
            <w:tcBorders>
              <w:tl2br w:val="nil"/>
              <w:tr2bl w:val="nil"/>
            </w:tcBorders>
            <w:noWrap w:val="0"/>
            <w:vAlign w:val="center"/>
          </w:tcPr>
          <w:p w14:paraId="3A3846C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较不密集</w:t>
            </w:r>
          </w:p>
        </w:tc>
        <w:tc>
          <w:tcPr>
            <w:tcW w:w="793" w:type="dxa"/>
            <w:tcBorders>
              <w:tl2br w:val="nil"/>
              <w:tr2bl w:val="nil"/>
            </w:tcBorders>
            <w:noWrap w:val="0"/>
            <w:vAlign w:val="center"/>
          </w:tcPr>
          <w:p w14:paraId="011D256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不密集</w:t>
            </w:r>
          </w:p>
        </w:tc>
        <w:tc>
          <w:tcPr>
            <w:tcW w:w="566" w:type="dxa"/>
            <w:tcBorders>
              <w:tl2br w:val="nil"/>
              <w:tr2bl w:val="nil"/>
            </w:tcBorders>
            <w:noWrap w:val="0"/>
            <w:vAlign w:val="center"/>
          </w:tcPr>
          <w:p w14:paraId="310CDD2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491" w:type="dxa"/>
            <w:tcBorders>
              <w:tl2br w:val="nil"/>
              <w:tr2bl w:val="nil"/>
            </w:tcBorders>
            <w:noWrap w:val="0"/>
            <w:vAlign w:val="center"/>
          </w:tcPr>
          <w:p w14:paraId="32FC1F9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598" w:type="dxa"/>
            <w:tcBorders>
              <w:tl2br w:val="nil"/>
              <w:tr2bl w:val="nil"/>
            </w:tcBorders>
            <w:noWrap w:val="0"/>
            <w:vAlign w:val="center"/>
          </w:tcPr>
          <w:p w14:paraId="2ACC4B4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0B63084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7" w:type="dxa"/>
            <w:tcBorders>
              <w:tl2br w:val="nil"/>
              <w:tr2bl w:val="nil"/>
            </w:tcBorders>
            <w:noWrap w:val="0"/>
            <w:vAlign w:val="center"/>
          </w:tcPr>
          <w:p w14:paraId="6471770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033E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384DCA2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restart"/>
            <w:tcBorders>
              <w:tl2br w:val="nil"/>
              <w:tr2bl w:val="nil"/>
            </w:tcBorders>
            <w:noWrap w:val="0"/>
            <w:vAlign w:val="center"/>
          </w:tcPr>
          <w:p w14:paraId="39F622E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交通条件</w:t>
            </w:r>
          </w:p>
        </w:tc>
        <w:tc>
          <w:tcPr>
            <w:tcW w:w="765" w:type="dxa"/>
            <w:tcBorders>
              <w:tl2br w:val="nil"/>
              <w:tr2bl w:val="nil"/>
            </w:tcBorders>
            <w:noWrap w:val="0"/>
            <w:vAlign w:val="center"/>
          </w:tcPr>
          <w:p w14:paraId="34C09A9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道路通达度</w:t>
            </w:r>
          </w:p>
        </w:tc>
        <w:tc>
          <w:tcPr>
            <w:tcW w:w="726" w:type="dxa"/>
            <w:tcBorders>
              <w:tl2br w:val="nil"/>
              <w:tr2bl w:val="nil"/>
            </w:tcBorders>
            <w:noWrap w:val="0"/>
            <w:vAlign w:val="center"/>
          </w:tcPr>
          <w:p w14:paraId="0E722FE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有生活型主干道通过</w:t>
            </w:r>
          </w:p>
        </w:tc>
        <w:tc>
          <w:tcPr>
            <w:tcW w:w="858" w:type="dxa"/>
            <w:tcBorders>
              <w:tl2br w:val="nil"/>
              <w:tr2bl w:val="nil"/>
            </w:tcBorders>
            <w:noWrap w:val="0"/>
            <w:vAlign w:val="center"/>
          </w:tcPr>
          <w:p w14:paraId="430A5EB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有混合型主干道通过</w:t>
            </w:r>
          </w:p>
        </w:tc>
        <w:tc>
          <w:tcPr>
            <w:tcW w:w="897" w:type="dxa"/>
            <w:tcBorders>
              <w:tl2br w:val="nil"/>
              <w:tr2bl w:val="nil"/>
            </w:tcBorders>
            <w:noWrap w:val="0"/>
            <w:vAlign w:val="center"/>
          </w:tcPr>
          <w:p w14:paraId="64C2FE2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有生活型次干道通过</w:t>
            </w:r>
          </w:p>
        </w:tc>
        <w:tc>
          <w:tcPr>
            <w:tcW w:w="891" w:type="dxa"/>
            <w:tcBorders>
              <w:tl2br w:val="nil"/>
              <w:tr2bl w:val="nil"/>
            </w:tcBorders>
            <w:noWrap w:val="0"/>
            <w:vAlign w:val="center"/>
          </w:tcPr>
          <w:p w14:paraId="225FCAC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交通型道路通过</w:t>
            </w:r>
          </w:p>
        </w:tc>
        <w:tc>
          <w:tcPr>
            <w:tcW w:w="793" w:type="dxa"/>
            <w:tcBorders>
              <w:tl2br w:val="nil"/>
              <w:tr2bl w:val="nil"/>
            </w:tcBorders>
            <w:noWrap w:val="0"/>
            <w:vAlign w:val="center"/>
          </w:tcPr>
          <w:p w14:paraId="1F863EA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支路通过</w:t>
            </w:r>
          </w:p>
        </w:tc>
        <w:tc>
          <w:tcPr>
            <w:tcW w:w="566" w:type="dxa"/>
            <w:tcBorders>
              <w:tl2br w:val="nil"/>
              <w:tr2bl w:val="nil"/>
            </w:tcBorders>
            <w:noWrap w:val="0"/>
            <w:vAlign w:val="center"/>
          </w:tcPr>
          <w:p w14:paraId="2D477C1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1FFB112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20D4EC8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660F4EE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12A6098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2AD5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0F0E07D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124B151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05B2ADA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距离轨道交通站点距离</w:t>
            </w:r>
          </w:p>
        </w:tc>
        <w:tc>
          <w:tcPr>
            <w:tcW w:w="726" w:type="dxa"/>
            <w:tcBorders>
              <w:tl2br w:val="nil"/>
              <w:tr2bl w:val="nil"/>
            </w:tcBorders>
            <w:noWrap w:val="0"/>
            <w:vAlign w:val="center"/>
          </w:tcPr>
          <w:p w14:paraId="425EBCA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&lt;</w:t>
            </w:r>
            <w:r>
              <w:rPr>
                <w:rFonts w:ascii="Times New Roman" w:hAnsi="Times New Roman" w:eastAsia="方正仿宋_GBK" w:cs="Tahoma"/>
                <w:color w:val="auto"/>
                <w:sz w:val="18"/>
                <w:szCs w:val="18"/>
              </w:rPr>
              <w:t>500</w:t>
            </w:r>
            <w:r>
              <w:rPr>
                <w:rFonts w:hint="eastAsia" w:ascii="Times New Roman" w:hAnsi="Times New Roman" w:eastAsia="方正仿宋_GBK" w:cs="Tahoma"/>
                <w:color w:val="auto"/>
                <w:sz w:val="18"/>
                <w:szCs w:val="18"/>
              </w:rPr>
              <w:t>米</w:t>
            </w:r>
          </w:p>
        </w:tc>
        <w:tc>
          <w:tcPr>
            <w:tcW w:w="858" w:type="dxa"/>
            <w:tcBorders>
              <w:tl2br w:val="nil"/>
              <w:tr2bl w:val="nil"/>
            </w:tcBorders>
            <w:noWrap w:val="0"/>
            <w:vAlign w:val="center"/>
          </w:tcPr>
          <w:p w14:paraId="0962470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w:t>
            </w:r>
            <w:r>
              <w:rPr>
                <w:rFonts w:ascii="Times New Roman" w:hAnsi="Times New Roman" w:eastAsia="方正仿宋_GBK" w:cs="Tahoma"/>
                <w:color w:val="auto"/>
                <w:sz w:val="18"/>
                <w:szCs w:val="18"/>
              </w:rPr>
              <w:t>00-1000</w:t>
            </w:r>
            <w:r>
              <w:rPr>
                <w:rFonts w:hint="eastAsia" w:ascii="Times New Roman" w:hAnsi="Times New Roman" w:eastAsia="方正仿宋_GBK" w:cs="Tahoma"/>
                <w:color w:val="auto"/>
                <w:sz w:val="18"/>
                <w:szCs w:val="18"/>
              </w:rPr>
              <w:t>米</w:t>
            </w:r>
          </w:p>
        </w:tc>
        <w:tc>
          <w:tcPr>
            <w:tcW w:w="897" w:type="dxa"/>
            <w:tcBorders>
              <w:tl2br w:val="nil"/>
              <w:tr2bl w:val="nil"/>
            </w:tcBorders>
            <w:noWrap w:val="0"/>
            <w:vAlign w:val="center"/>
          </w:tcPr>
          <w:p w14:paraId="331A0B4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w:t>
            </w:r>
            <w:r>
              <w:rPr>
                <w:rFonts w:ascii="Times New Roman" w:hAnsi="Times New Roman" w:eastAsia="方正仿宋_GBK" w:cs="Tahoma"/>
                <w:color w:val="auto"/>
                <w:sz w:val="18"/>
                <w:szCs w:val="18"/>
              </w:rPr>
              <w:t>000-1500</w:t>
            </w:r>
            <w:r>
              <w:rPr>
                <w:rFonts w:hint="eastAsia" w:ascii="Times New Roman" w:hAnsi="Times New Roman" w:eastAsia="方正仿宋_GBK" w:cs="Tahoma"/>
                <w:color w:val="auto"/>
                <w:sz w:val="18"/>
                <w:szCs w:val="18"/>
              </w:rPr>
              <w:t>米</w:t>
            </w:r>
          </w:p>
        </w:tc>
        <w:tc>
          <w:tcPr>
            <w:tcW w:w="891" w:type="dxa"/>
            <w:tcBorders>
              <w:tl2br w:val="nil"/>
              <w:tr2bl w:val="nil"/>
            </w:tcBorders>
            <w:noWrap w:val="0"/>
            <w:vAlign w:val="center"/>
          </w:tcPr>
          <w:p w14:paraId="4BDC4EB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w:t>
            </w:r>
            <w:r>
              <w:rPr>
                <w:rFonts w:ascii="Times New Roman" w:hAnsi="Times New Roman" w:eastAsia="方正仿宋_GBK" w:cs="Tahoma"/>
                <w:color w:val="auto"/>
                <w:sz w:val="18"/>
                <w:szCs w:val="18"/>
              </w:rPr>
              <w:t>500-2000</w:t>
            </w:r>
            <w:r>
              <w:rPr>
                <w:rFonts w:hint="eastAsia" w:ascii="Times New Roman" w:hAnsi="Times New Roman" w:eastAsia="方正仿宋_GBK" w:cs="Tahoma"/>
                <w:color w:val="auto"/>
                <w:sz w:val="18"/>
                <w:szCs w:val="18"/>
              </w:rPr>
              <w:t>米</w:t>
            </w:r>
          </w:p>
        </w:tc>
        <w:tc>
          <w:tcPr>
            <w:tcW w:w="793" w:type="dxa"/>
            <w:tcBorders>
              <w:tl2br w:val="nil"/>
              <w:tr2bl w:val="nil"/>
            </w:tcBorders>
            <w:noWrap w:val="0"/>
            <w:vAlign w:val="center"/>
          </w:tcPr>
          <w:p w14:paraId="5696B36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w:t>
            </w:r>
            <w:r>
              <w:rPr>
                <w:rFonts w:ascii="Times New Roman" w:hAnsi="Times New Roman" w:eastAsia="方正仿宋_GBK" w:cs="Tahoma"/>
                <w:color w:val="auto"/>
                <w:sz w:val="18"/>
                <w:szCs w:val="18"/>
              </w:rPr>
              <w:t>000</w:t>
            </w:r>
            <w:r>
              <w:rPr>
                <w:rFonts w:hint="eastAsia" w:ascii="Times New Roman" w:hAnsi="Times New Roman" w:eastAsia="方正仿宋_GBK" w:cs="Tahoma"/>
                <w:color w:val="auto"/>
                <w:sz w:val="18"/>
                <w:szCs w:val="18"/>
              </w:rPr>
              <w:t>米以上</w:t>
            </w:r>
          </w:p>
        </w:tc>
        <w:tc>
          <w:tcPr>
            <w:tcW w:w="566" w:type="dxa"/>
            <w:tcBorders>
              <w:tl2br w:val="nil"/>
              <w:tr2bl w:val="nil"/>
            </w:tcBorders>
            <w:noWrap w:val="0"/>
            <w:vAlign w:val="center"/>
          </w:tcPr>
          <w:p w14:paraId="1D03402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392AC3F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0FF24F0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2F9B05C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7679056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6A56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78911AF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1EFCC86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1DE91A0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公交线路数(半径200m范围内)</w:t>
            </w:r>
          </w:p>
        </w:tc>
        <w:tc>
          <w:tcPr>
            <w:tcW w:w="726" w:type="dxa"/>
            <w:tcBorders>
              <w:tl2br w:val="nil"/>
              <w:tr2bl w:val="nil"/>
            </w:tcBorders>
            <w:noWrap w:val="0"/>
            <w:vAlign w:val="center"/>
          </w:tcPr>
          <w:p w14:paraId="7ECC13D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5条以上公交线路通过</w:t>
            </w:r>
          </w:p>
        </w:tc>
        <w:tc>
          <w:tcPr>
            <w:tcW w:w="858" w:type="dxa"/>
            <w:tcBorders>
              <w:tl2br w:val="nil"/>
              <w:tr2bl w:val="nil"/>
            </w:tcBorders>
            <w:noWrap w:val="0"/>
            <w:vAlign w:val="center"/>
          </w:tcPr>
          <w:p w14:paraId="7A463D8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3-4条公交线路</w:t>
            </w:r>
          </w:p>
        </w:tc>
        <w:tc>
          <w:tcPr>
            <w:tcW w:w="897" w:type="dxa"/>
            <w:tcBorders>
              <w:tl2br w:val="nil"/>
              <w:tr2bl w:val="nil"/>
            </w:tcBorders>
            <w:noWrap w:val="0"/>
            <w:vAlign w:val="center"/>
          </w:tcPr>
          <w:p w14:paraId="32833B3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2条公交线路</w:t>
            </w:r>
          </w:p>
        </w:tc>
        <w:tc>
          <w:tcPr>
            <w:tcW w:w="891" w:type="dxa"/>
            <w:tcBorders>
              <w:tl2br w:val="nil"/>
              <w:tr2bl w:val="nil"/>
            </w:tcBorders>
            <w:noWrap w:val="0"/>
            <w:vAlign w:val="center"/>
          </w:tcPr>
          <w:p w14:paraId="022A4CE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1条公交线路</w:t>
            </w:r>
          </w:p>
        </w:tc>
        <w:tc>
          <w:tcPr>
            <w:tcW w:w="793" w:type="dxa"/>
            <w:tcBorders>
              <w:tl2br w:val="nil"/>
              <w:tr2bl w:val="nil"/>
            </w:tcBorders>
            <w:noWrap w:val="0"/>
            <w:vAlign w:val="center"/>
          </w:tcPr>
          <w:p w14:paraId="18C56FA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无公交线路</w:t>
            </w:r>
          </w:p>
        </w:tc>
        <w:tc>
          <w:tcPr>
            <w:tcW w:w="566" w:type="dxa"/>
            <w:tcBorders>
              <w:tl2br w:val="nil"/>
              <w:tr2bl w:val="nil"/>
            </w:tcBorders>
            <w:noWrap w:val="0"/>
            <w:vAlign w:val="center"/>
          </w:tcPr>
          <w:p w14:paraId="599E8FE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181E5CF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2050F0C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240F98B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5526B0D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1F5F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3377FD1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2B1CC26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53C7065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距火车站距离</w:t>
            </w:r>
          </w:p>
        </w:tc>
        <w:tc>
          <w:tcPr>
            <w:tcW w:w="726" w:type="dxa"/>
            <w:tcBorders>
              <w:tl2br w:val="nil"/>
              <w:tr2bl w:val="nil"/>
            </w:tcBorders>
            <w:noWrap w:val="0"/>
            <w:vAlign w:val="center"/>
          </w:tcPr>
          <w:p w14:paraId="5FF2827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858" w:type="dxa"/>
            <w:tcBorders>
              <w:tl2br w:val="nil"/>
              <w:tr2bl w:val="nil"/>
            </w:tcBorders>
            <w:noWrap w:val="0"/>
            <w:vAlign w:val="center"/>
          </w:tcPr>
          <w:p w14:paraId="5DA9CF4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97" w:type="dxa"/>
            <w:tcBorders>
              <w:tl2br w:val="nil"/>
              <w:tr2bl w:val="nil"/>
            </w:tcBorders>
            <w:noWrap w:val="0"/>
            <w:vAlign w:val="center"/>
          </w:tcPr>
          <w:p w14:paraId="4F47545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91" w:type="dxa"/>
            <w:tcBorders>
              <w:tl2br w:val="nil"/>
              <w:tr2bl w:val="nil"/>
            </w:tcBorders>
            <w:noWrap w:val="0"/>
            <w:vAlign w:val="center"/>
          </w:tcPr>
          <w:p w14:paraId="2C96C34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2000-3500米</w:t>
            </w:r>
          </w:p>
        </w:tc>
        <w:tc>
          <w:tcPr>
            <w:tcW w:w="793" w:type="dxa"/>
            <w:tcBorders>
              <w:tl2br w:val="nil"/>
              <w:tr2bl w:val="nil"/>
            </w:tcBorders>
            <w:noWrap w:val="0"/>
            <w:vAlign w:val="center"/>
          </w:tcPr>
          <w:p w14:paraId="38750D1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＞3500米</w:t>
            </w:r>
          </w:p>
        </w:tc>
        <w:tc>
          <w:tcPr>
            <w:tcW w:w="566" w:type="dxa"/>
            <w:tcBorders>
              <w:tl2br w:val="nil"/>
              <w:tr2bl w:val="nil"/>
            </w:tcBorders>
            <w:noWrap w:val="0"/>
            <w:vAlign w:val="center"/>
          </w:tcPr>
          <w:p w14:paraId="53CCFD2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2293802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3091482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D0BB2A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5667D08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446F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427D940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0EA1700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62CE92D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距长途汽车站距离</w:t>
            </w:r>
          </w:p>
        </w:tc>
        <w:tc>
          <w:tcPr>
            <w:tcW w:w="726" w:type="dxa"/>
            <w:tcBorders>
              <w:tl2br w:val="nil"/>
              <w:tr2bl w:val="nil"/>
            </w:tcBorders>
            <w:noWrap w:val="0"/>
            <w:vAlign w:val="center"/>
          </w:tcPr>
          <w:p w14:paraId="4A75CA2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858" w:type="dxa"/>
            <w:tcBorders>
              <w:tl2br w:val="nil"/>
              <w:tr2bl w:val="nil"/>
            </w:tcBorders>
            <w:noWrap w:val="0"/>
            <w:vAlign w:val="center"/>
          </w:tcPr>
          <w:p w14:paraId="14D6191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97" w:type="dxa"/>
            <w:tcBorders>
              <w:tl2br w:val="nil"/>
              <w:tr2bl w:val="nil"/>
            </w:tcBorders>
            <w:noWrap w:val="0"/>
            <w:vAlign w:val="center"/>
          </w:tcPr>
          <w:p w14:paraId="3C79C3B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91" w:type="dxa"/>
            <w:tcBorders>
              <w:tl2br w:val="nil"/>
              <w:tr2bl w:val="nil"/>
            </w:tcBorders>
            <w:noWrap w:val="0"/>
            <w:vAlign w:val="center"/>
          </w:tcPr>
          <w:p w14:paraId="2B4D6FF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2000-3500米</w:t>
            </w:r>
          </w:p>
        </w:tc>
        <w:tc>
          <w:tcPr>
            <w:tcW w:w="793" w:type="dxa"/>
            <w:tcBorders>
              <w:tl2br w:val="nil"/>
              <w:tr2bl w:val="nil"/>
            </w:tcBorders>
            <w:noWrap w:val="0"/>
            <w:vAlign w:val="center"/>
          </w:tcPr>
          <w:p w14:paraId="1374AC7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＞3500米</w:t>
            </w:r>
          </w:p>
        </w:tc>
        <w:tc>
          <w:tcPr>
            <w:tcW w:w="566" w:type="dxa"/>
            <w:tcBorders>
              <w:tl2br w:val="nil"/>
              <w:tr2bl w:val="nil"/>
            </w:tcBorders>
            <w:noWrap w:val="0"/>
            <w:vAlign w:val="center"/>
          </w:tcPr>
          <w:p w14:paraId="0763528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0CB5C57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49B7EA2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7536545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24E56F0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2544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39244EC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5E64F4A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3AEE860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距高速公路出口距离</w:t>
            </w:r>
          </w:p>
        </w:tc>
        <w:tc>
          <w:tcPr>
            <w:tcW w:w="726" w:type="dxa"/>
            <w:tcBorders>
              <w:tl2br w:val="nil"/>
              <w:tr2bl w:val="nil"/>
            </w:tcBorders>
            <w:noWrap w:val="0"/>
            <w:vAlign w:val="center"/>
          </w:tcPr>
          <w:p w14:paraId="5B332E0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858" w:type="dxa"/>
            <w:tcBorders>
              <w:tl2br w:val="nil"/>
              <w:tr2bl w:val="nil"/>
            </w:tcBorders>
            <w:noWrap w:val="0"/>
            <w:vAlign w:val="center"/>
          </w:tcPr>
          <w:p w14:paraId="268A26D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97" w:type="dxa"/>
            <w:tcBorders>
              <w:tl2br w:val="nil"/>
              <w:tr2bl w:val="nil"/>
            </w:tcBorders>
            <w:noWrap w:val="0"/>
            <w:vAlign w:val="center"/>
          </w:tcPr>
          <w:p w14:paraId="224AFFB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91" w:type="dxa"/>
            <w:tcBorders>
              <w:tl2br w:val="nil"/>
              <w:tr2bl w:val="nil"/>
            </w:tcBorders>
            <w:noWrap w:val="0"/>
            <w:vAlign w:val="center"/>
          </w:tcPr>
          <w:p w14:paraId="40F10AE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2000-3500米</w:t>
            </w:r>
          </w:p>
        </w:tc>
        <w:tc>
          <w:tcPr>
            <w:tcW w:w="793" w:type="dxa"/>
            <w:tcBorders>
              <w:tl2br w:val="nil"/>
              <w:tr2bl w:val="nil"/>
            </w:tcBorders>
            <w:noWrap w:val="0"/>
            <w:vAlign w:val="center"/>
          </w:tcPr>
          <w:p w14:paraId="2C3B6B1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＞3500米</w:t>
            </w:r>
          </w:p>
        </w:tc>
        <w:tc>
          <w:tcPr>
            <w:tcW w:w="566" w:type="dxa"/>
            <w:tcBorders>
              <w:tl2br w:val="nil"/>
              <w:tr2bl w:val="nil"/>
            </w:tcBorders>
            <w:noWrap w:val="0"/>
            <w:vAlign w:val="center"/>
          </w:tcPr>
          <w:p w14:paraId="0ABEB43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2497F4E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03D6A85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9FFFC6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38C8BBA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15E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32CC1FD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restart"/>
            <w:tcBorders>
              <w:tl2br w:val="nil"/>
              <w:tr2bl w:val="nil"/>
            </w:tcBorders>
            <w:noWrap w:val="0"/>
            <w:vAlign w:val="center"/>
          </w:tcPr>
          <w:p w14:paraId="612921A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w:t>
            </w:r>
          </w:p>
        </w:tc>
        <w:tc>
          <w:tcPr>
            <w:tcW w:w="765" w:type="dxa"/>
            <w:tcBorders>
              <w:tl2br w:val="nil"/>
              <w:tr2bl w:val="nil"/>
            </w:tcBorders>
            <w:noWrap w:val="0"/>
            <w:vAlign w:val="center"/>
          </w:tcPr>
          <w:p w14:paraId="386A5DF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供水保证度（%）</w:t>
            </w:r>
          </w:p>
        </w:tc>
        <w:tc>
          <w:tcPr>
            <w:tcW w:w="726" w:type="dxa"/>
            <w:tcBorders>
              <w:tl2br w:val="nil"/>
              <w:tr2bl w:val="nil"/>
            </w:tcBorders>
            <w:noWrap w:val="0"/>
            <w:vAlign w:val="center"/>
          </w:tcPr>
          <w:p w14:paraId="20EC5DF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＞98</w:t>
            </w:r>
          </w:p>
        </w:tc>
        <w:tc>
          <w:tcPr>
            <w:tcW w:w="858" w:type="dxa"/>
            <w:tcBorders>
              <w:tl2br w:val="nil"/>
              <w:tr2bl w:val="nil"/>
            </w:tcBorders>
            <w:noWrap w:val="0"/>
            <w:vAlign w:val="center"/>
          </w:tcPr>
          <w:p w14:paraId="74DCC96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97" w:type="dxa"/>
            <w:tcBorders>
              <w:tl2br w:val="nil"/>
              <w:tr2bl w:val="nil"/>
            </w:tcBorders>
            <w:noWrap w:val="0"/>
            <w:vAlign w:val="center"/>
          </w:tcPr>
          <w:p w14:paraId="10ABA18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91" w:type="dxa"/>
            <w:tcBorders>
              <w:tl2br w:val="nil"/>
              <w:tr2bl w:val="nil"/>
            </w:tcBorders>
            <w:noWrap w:val="0"/>
            <w:vAlign w:val="center"/>
          </w:tcPr>
          <w:p w14:paraId="353B25B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793" w:type="dxa"/>
            <w:tcBorders>
              <w:tl2br w:val="nil"/>
              <w:tr2bl w:val="nil"/>
            </w:tcBorders>
            <w:noWrap w:val="0"/>
            <w:vAlign w:val="center"/>
          </w:tcPr>
          <w:p w14:paraId="3055552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w:t>
            </w:r>
          </w:p>
        </w:tc>
        <w:tc>
          <w:tcPr>
            <w:tcW w:w="566" w:type="dxa"/>
            <w:tcBorders>
              <w:tl2br w:val="nil"/>
              <w:tr2bl w:val="nil"/>
            </w:tcBorders>
            <w:noWrap w:val="0"/>
            <w:vAlign w:val="center"/>
          </w:tcPr>
          <w:p w14:paraId="65C896D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1A3B167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0ED7EA1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72BB3F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0292851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768D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5E9C2B8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791B681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5BFB128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供电保证度（%）</w:t>
            </w:r>
          </w:p>
        </w:tc>
        <w:tc>
          <w:tcPr>
            <w:tcW w:w="726" w:type="dxa"/>
            <w:tcBorders>
              <w:tl2br w:val="nil"/>
              <w:tr2bl w:val="nil"/>
            </w:tcBorders>
            <w:noWrap w:val="0"/>
            <w:vAlign w:val="center"/>
          </w:tcPr>
          <w:p w14:paraId="38DDF3E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＞98</w:t>
            </w:r>
          </w:p>
        </w:tc>
        <w:tc>
          <w:tcPr>
            <w:tcW w:w="858" w:type="dxa"/>
            <w:tcBorders>
              <w:tl2br w:val="nil"/>
              <w:tr2bl w:val="nil"/>
            </w:tcBorders>
            <w:noWrap w:val="0"/>
            <w:vAlign w:val="center"/>
          </w:tcPr>
          <w:p w14:paraId="29EE0C8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97" w:type="dxa"/>
            <w:tcBorders>
              <w:tl2br w:val="nil"/>
              <w:tr2bl w:val="nil"/>
            </w:tcBorders>
            <w:noWrap w:val="0"/>
            <w:vAlign w:val="center"/>
          </w:tcPr>
          <w:p w14:paraId="539FC3A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91" w:type="dxa"/>
            <w:tcBorders>
              <w:tl2br w:val="nil"/>
              <w:tr2bl w:val="nil"/>
            </w:tcBorders>
            <w:noWrap w:val="0"/>
            <w:vAlign w:val="center"/>
          </w:tcPr>
          <w:p w14:paraId="3E52730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793" w:type="dxa"/>
            <w:tcBorders>
              <w:tl2br w:val="nil"/>
              <w:tr2bl w:val="nil"/>
            </w:tcBorders>
            <w:noWrap w:val="0"/>
            <w:vAlign w:val="center"/>
          </w:tcPr>
          <w:p w14:paraId="72D28C5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w:t>
            </w:r>
          </w:p>
        </w:tc>
        <w:tc>
          <w:tcPr>
            <w:tcW w:w="566" w:type="dxa"/>
            <w:tcBorders>
              <w:tl2br w:val="nil"/>
              <w:tr2bl w:val="nil"/>
            </w:tcBorders>
            <w:noWrap w:val="0"/>
            <w:vAlign w:val="center"/>
          </w:tcPr>
          <w:p w14:paraId="3C76DF6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64F38CF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6CC0D49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291F08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0BAB81F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1729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44444B6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609" w:type="dxa"/>
            <w:vMerge w:val="continue"/>
            <w:tcBorders>
              <w:tl2br w:val="nil"/>
              <w:tr2bl w:val="nil"/>
            </w:tcBorders>
            <w:noWrap w:val="0"/>
            <w:vAlign w:val="center"/>
          </w:tcPr>
          <w:p w14:paraId="4DC1FDB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765" w:type="dxa"/>
            <w:tcBorders>
              <w:tl2br w:val="nil"/>
              <w:tr2bl w:val="nil"/>
            </w:tcBorders>
            <w:noWrap w:val="0"/>
            <w:vAlign w:val="center"/>
          </w:tcPr>
          <w:p w14:paraId="709D9CB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通讯保证度（%）</w:t>
            </w:r>
          </w:p>
        </w:tc>
        <w:tc>
          <w:tcPr>
            <w:tcW w:w="726" w:type="dxa"/>
            <w:tcBorders>
              <w:tl2br w:val="nil"/>
              <w:tr2bl w:val="nil"/>
            </w:tcBorders>
            <w:noWrap w:val="0"/>
            <w:vAlign w:val="center"/>
          </w:tcPr>
          <w:p w14:paraId="049DCF2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＞98</w:t>
            </w:r>
          </w:p>
        </w:tc>
        <w:tc>
          <w:tcPr>
            <w:tcW w:w="858" w:type="dxa"/>
            <w:tcBorders>
              <w:tl2br w:val="nil"/>
              <w:tr2bl w:val="nil"/>
            </w:tcBorders>
            <w:noWrap w:val="0"/>
            <w:vAlign w:val="center"/>
          </w:tcPr>
          <w:p w14:paraId="71E5418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97" w:type="dxa"/>
            <w:tcBorders>
              <w:tl2br w:val="nil"/>
              <w:tr2bl w:val="nil"/>
            </w:tcBorders>
            <w:noWrap w:val="0"/>
            <w:vAlign w:val="center"/>
          </w:tcPr>
          <w:p w14:paraId="7F76714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91" w:type="dxa"/>
            <w:tcBorders>
              <w:tl2br w:val="nil"/>
              <w:tr2bl w:val="nil"/>
            </w:tcBorders>
            <w:noWrap w:val="0"/>
            <w:vAlign w:val="center"/>
          </w:tcPr>
          <w:p w14:paraId="22C70C2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793" w:type="dxa"/>
            <w:tcBorders>
              <w:tl2br w:val="nil"/>
              <w:tr2bl w:val="nil"/>
            </w:tcBorders>
            <w:noWrap w:val="0"/>
            <w:vAlign w:val="center"/>
          </w:tcPr>
          <w:p w14:paraId="2508367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w:t>
            </w:r>
          </w:p>
        </w:tc>
        <w:tc>
          <w:tcPr>
            <w:tcW w:w="566" w:type="dxa"/>
            <w:tcBorders>
              <w:tl2br w:val="nil"/>
              <w:tr2bl w:val="nil"/>
            </w:tcBorders>
            <w:noWrap w:val="0"/>
            <w:vAlign w:val="center"/>
          </w:tcPr>
          <w:p w14:paraId="03EE808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55DAB750">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2CF588E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42A7DD6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6013A45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0630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679B589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6CB3FB2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人口状况（客流量）</w:t>
            </w:r>
          </w:p>
        </w:tc>
        <w:tc>
          <w:tcPr>
            <w:tcW w:w="726" w:type="dxa"/>
            <w:tcBorders>
              <w:tl2br w:val="nil"/>
              <w:tr2bl w:val="nil"/>
            </w:tcBorders>
            <w:noWrap w:val="0"/>
            <w:vAlign w:val="center"/>
          </w:tcPr>
          <w:p w14:paraId="3357FE0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w:t>
            </w:r>
          </w:p>
        </w:tc>
        <w:tc>
          <w:tcPr>
            <w:tcW w:w="858" w:type="dxa"/>
            <w:tcBorders>
              <w:tl2br w:val="nil"/>
              <w:tr2bl w:val="nil"/>
            </w:tcBorders>
            <w:noWrap w:val="0"/>
            <w:vAlign w:val="center"/>
          </w:tcPr>
          <w:p w14:paraId="48E06B0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较高</w:t>
            </w:r>
          </w:p>
        </w:tc>
        <w:tc>
          <w:tcPr>
            <w:tcW w:w="897" w:type="dxa"/>
            <w:tcBorders>
              <w:tl2br w:val="nil"/>
              <w:tr2bl w:val="nil"/>
            </w:tcBorders>
            <w:noWrap w:val="0"/>
            <w:vAlign w:val="center"/>
          </w:tcPr>
          <w:p w14:paraId="5C34E83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91" w:type="dxa"/>
            <w:tcBorders>
              <w:tl2br w:val="nil"/>
              <w:tr2bl w:val="nil"/>
            </w:tcBorders>
            <w:noWrap w:val="0"/>
            <w:vAlign w:val="center"/>
          </w:tcPr>
          <w:p w14:paraId="19C1A93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较低</w:t>
            </w:r>
          </w:p>
        </w:tc>
        <w:tc>
          <w:tcPr>
            <w:tcW w:w="793" w:type="dxa"/>
            <w:tcBorders>
              <w:tl2br w:val="nil"/>
              <w:tr2bl w:val="nil"/>
            </w:tcBorders>
            <w:noWrap w:val="0"/>
            <w:vAlign w:val="center"/>
          </w:tcPr>
          <w:p w14:paraId="0041B5F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w:t>
            </w:r>
          </w:p>
        </w:tc>
        <w:tc>
          <w:tcPr>
            <w:tcW w:w="566" w:type="dxa"/>
            <w:tcBorders>
              <w:tl2br w:val="nil"/>
              <w:tr2bl w:val="nil"/>
            </w:tcBorders>
            <w:noWrap w:val="0"/>
            <w:vAlign w:val="center"/>
          </w:tcPr>
          <w:p w14:paraId="12F1BCE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2.0 </w:t>
            </w:r>
          </w:p>
        </w:tc>
        <w:tc>
          <w:tcPr>
            <w:tcW w:w="491" w:type="dxa"/>
            <w:tcBorders>
              <w:tl2br w:val="nil"/>
              <w:tr2bl w:val="nil"/>
            </w:tcBorders>
            <w:noWrap w:val="0"/>
            <w:vAlign w:val="center"/>
          </w:tcPr>
          <w:p w14:paraId="67281CA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598" w:type="dxa"/>
            <w:tcBorders>
              <w:tl2br w:val="nil"/>
              <w:tr2bl w:val="nil"/>
            </w:tcBorders>
            <w:noWrap w:val="0"/>
            <w:vAlign w:val="center"/>
          </w:tcPr>
          <w:p w14:paraId="307D1F1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5B3048B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7" w:type="dxa"/>
            <w:tcBorders>
              <w:tl2br w:val="nil"/>
              <w:tr2bl w:val="nil"/>
            </w:tcBorders>
            <w:noWrap w:val="0"/>
            <w:vAlign w:val="center"/>
          </w:tcPr>
          <w:p w14:paraId="5070858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-2.0 </w:t>
            </w:r>
          </w:p>
        </w:tc>
      </w:tr>
      <w:tr w14:paraId="07A2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0D5E325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07A2B0C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规划状况</w:t>
            </w:r>
          </w:p>
        </w:tc>
        <w:tc>
          <w:tcPr>
            <w:tcW w:w="726" w:type="dxa"/>
            <w:tcBorders>
              <w:tl2br w:val="nil"/>
              <w:tr2bl w:val="nil"/>
            </w:tcBorders>
            <w:noWrap w:val="0"/>
            <w:vAlign w:val="center"/>
          </w:tcPr>
          <w:p w14:paraId="5ABFAA4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有利</w:t>
            </w:r>
          </w:p>
        </w:tc>
        <w:tc>
          <w:tcPr>
            <w:tcW w:w="858" w:type="dxa"/>
            <w:tcBorders>
              <w:tl2br w:val="nil"/>
              <w:tr2bl w:val="nil"/>
            </w:tcBorders>
            <w:noWrap w:val="0"/>
            <w:vAlign w:val="center"/>
          </w:tcPr>
          <w:p w14:paraId="00158E3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较有利</w:t>
            </w:r>
          </w:p>
        </w:tc>
        <w:tc>
          <w:tcPr>
            <w:tcW w:w="897" w:type="dxa"/>
            <w:tcBorders>
              <w:tl2br w:val="nil"/>
              <w:tr2bl w:val="nil"/>
            </w:tcBorders>
            <w:noWrap w:val="0"/>
            <w:vAlign w:val="center"/>
          </w:tcPr>
          <w:p w14:paraId="50D9D40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无影响</w:t>
            </w:r>
          </w:p>
        </w:tc>
        <w:tc>
          <w:tcPr>
            <w:tcW w:w="891" w:type="dxa"/>
            <w:tcBorders>
              <w:tl2br w:val="nil"/>
              <w:tr2bl w:val="nil"/>
            </w:tcBorders>
            <w:noWrap w:val="0"/>
            <w:vAlign w:val="center"/>
          </w:tcPr>
          <w:p w14:paraId="6BE9565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较不利</w:t>
            </w:r>
          </w:p>
        </w:tc>
        <w:tc>
          <w:tcPr>
            <w:tcW w:w="793" w:type="dxa"/>
            <w:tcBorders>
              <w:tl2br w:val="nil"/>
              <w:tr2bl w:val="nil"/>
            </w:tcBorders>
            <w:noWrap w:val="0"/>
            <w:vAlign w:val="center"/>
          </w:tcPr>
          <w:p w14:paraId="7342AEA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不利</w:t>
            </w:r>
          </w:p>
        </w:tc>
        <w:tc>
          <w:tcPr>
            <w:tcW w:w="566" w:type="dxa"/>
            <w:tcBorders>
              <w:tl2br w:val="nil"/>
              <w:tr2bl w:val="nil"/>
            </w:tcBorders>
            <w:noWrap w:val="0"/>
            <w:vAlign w:val="center"/>
          </w:tcPr>
          <w:p w14:paraId="16CAA50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2.0 </w:t>
            </w:r>
          </w:p>
        </w:tc>
        <w:tc>
          <w:tcPr>
            <w:tcW w:w="491" w:type="dxa"/>
            <w:tcBorders>
              <w:tl2br w:val="nil"/>
              <w:tr2bl w:val="nil"/>
            </w:tcBorders>
            <w:noWrap w:val="0"/>
            <w:vAlign w:val="center"/>
          </w:tcPr>
          <w:p w14:paraId="11A7A2B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598" w:type="dxa"/>
            <w:tcBorders>
              <w:tl2br w:val="nil"/>
              <w:tr2bl w:val="nil"/>
            </w:tcBorders>
            <w:noWrap w:val="0"/>
            <w:vAlign w:val="center"/>
          </w:tcPr>
          <w:p w14:paraId="1096D00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6650354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7" w:type="dxa"/>
            <w:tcBorders>
              <w:tl2br w:val="nil"/>
              <w:tr2bl w:val="nil"/>
            </w:tcBorders>
            <w:noWrap w:val="0"/>
            <w:vAlign w:val="center"/>
          </w:tcPr>
          <w:p w14:paraId="7B62583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-2.0 </w:t>
            </w:r>
          </w:p>
        </w:tc>
      </w:tr>
      <w:tr w14:paraId="3D87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restart"/>
            <w:tcBorders>
              <w:tl2br w:val="nil"/>
              <w:tr2bl w:val="nil"/>
            </w:tcBorders>
            <w:noWrap w:val="0"/>
            <w:vAlign w:val="center"/>
          </w:tcPr>
          <w:p w14:paraId="68BE1F8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个别因素</w:t>
            </w:r>
          </w:p>
        </w:tc>
        <w:tc>
          <w:tcPr>
            <w:tcW w:w="1374" w:type="dxa"/>
            <w:gridSpan w:val="2"/>
            <w:tcBorders>
              <w:tl2br w:val="nil"/>
              <w:tr2bl w:val="nil"/>
            </w:tcBorders>
            <w:noWrap w:val="0"/>
            <w:vAlign w:val="center"/>
          </w:tcPr>
          <w:p w14:paraId="25F9615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距公交站点的距离</w:t>
            </w:r>
          </w:p>
        </w:tc>
        <w:tc>
          <w:tcPr>
            <w:tcW w:w="726" w:type="dxa"/>
            <w:tcBorders>
              <w:tl2br w:val="nil"/>
              <w:tr2bl w:val="nil"/>
            </w:tcBorders>
            <w:noWrap w:val="0"/>
            <w:vAlign w:val="center"/>
          </w:tcPr>
          <w:p w14:paraId="244F410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＜200米</w:t>
            </w:r>
          </w:p>
        </w:tc>
        <w:tc>
          <w:tcPr>
            <w:tcW w:w="858" w:type="dxa"/>
            <w:tcBorders>
              <w:tl2br w:val="nil"/>
              <w:tr2bl w:val="nil"/>
            </w:tcBorders>
            <w:noWrap w:val="0"/>
            <w:vAlign w:val="center"/>
          </w:tcPr>
          <w:p w14:paraId="2AAAE18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200-300米</w:t>
            </w:r>
          </w:p>
        </w:tc>
        <w:tc>
          <w:tcPr>
            <w:tcW w:w="897" w:type="dxa"/>
            <w:tcBorders>
              <w:tl2br w:val="nil"/>
              <w:tr2bl w:val="nil"/>
            </w:tcBorders>
            <w:noWrap w:val="0"/>
            <w:vAlign w:val="center"/>
          </w:tcPr>
          <w:p w14:paraId="2E21EB6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300-400米</w:t>
            </w:r>
          </w:p>
        </w:tc>
        <w:tc>
          <w:tcPr>
            <w:tcW w:w="891" w:type="dxa"/>
            <w:tcBorders>
              <w:tl2br w:val="nil"/>
              <w:tr2bl w:val="nil"/>
            </w:tcBorders>
            <w:noWrap w:val="0"/>
            <w:vAlign w:val="center"/>
          </w:tcPr>
          <w:p w14:paraId="7176C6A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400-500米</w:t>
            </w:r>
          </w:p>
        </w:tc>
        <w:tc>
          <w:tcPr>
            <w:tcW w:w="793" w:type="dxa"/>
            <w:tcBorders>
              <w:tl2br w:val="nil"/>
              <w:tr2bl w:val="nil"/>
            </w:tcBorders>
            <w:noWrap w:val="0"/>
            <w:vAlign w:val="center"/>
          </w:tcPr>
          <w:p w14:paraId="660C169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566" w:type="dxa"/>
            <w:tcBorders>
              <w:tl2br w:val="nil"/>
              <w:tr2bl w:val="nil"/>
            </w:tcBorders>
            <w:noWrap w:val="0"/>
            <w:vAlign w:val="center"/>
          </w:tcPr>
          <w:p w14:paraId="4D051A6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01E496C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69C1514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5A0770C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5D734A1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2BB9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665FAAA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6556318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临街道路类型</w:t>
            </w:r>
          </w:p>
        </w:tc>
        <w:tc>
          <w:tcPr>
            <w:tcW w:w="726" w:type="dxa"/>
            <w:tcBorders>
              <w:tl2br w:val="nil"/>
              <w:tr2bl w:val="nil"/>
            </w:tcBorders>
            <w:noWrap w:val="0"/>
            <w:vAlign w:val="center"/>
          </w:tcPr>
          <w:p w14:paraId="0C0C8A2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步行街</w:t>
            </w:r>
          </w:p>
        </w:tc>
        <w:tc>
          <w:tcPr>
            <w:tcW w:w="858" w:type="dxa"/>
            <w:tcBorders>
              <w:tl2br w:val="nil"/>
              <w:tr2bl w:val="nil"/>
            </w:tcBorders>
            <w:noWrap w:val="0"/>
            <w:vAlign w:val="center"/>
          </w:tcPr>
          <w:p w14:paraId="3BDC87E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主干道</w:t>
            </w:r>
          </w:p>
        </w:tc>
        <w:tc>
          <w:tcPr>
            <w:tcW w:w="897" w:type="dxa"/>
            <w:tcBorders>
              <w:tl2br w:val="nil"/>
              <w:tr2bl w:val="nil"/>
            </w:tcBorders>
            <w:noWrap w:val="0"/>
            <w:vAlign w:val="center"/>
          </w:tcPr>
          <w:p w14:paraId="21ECAA3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次干道</w:t>
            </w:r>
          </w:p>
        </w:tc>
        <w:tc>
          <w:tcPr>
            <w:tcW w:w="891" w:type="dxa"/>
            <w:tcBorders>
              <w:tl2br w:val="nil"/>
              <w:tr2bl w:val="nil"/>
            </w:tcBorders>
            <w:noWrap w:val="0"/>
            <w:vAlign w:val="center"/>
          </w:tcPr>
          <w:p w14:paraId="3E2888B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支路</w:t>
            </w:r>
          </w:p>
        </w:tc>
        <w:tc>
          <w:tcPr>
            <w:tcW w:w="793" w:type="dxa"/>
            <w:tcBorders>
              <w:tl2br w:val="nil"/>
              <w:tr2bl w:val="nil"/>
            </w:tcBorders>
            <w:noWrap w:val="0"/>
            <w:vAlign w:val="center"/>
          </w:tcPr>
          <w:p w14:paraId="0E471E7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小区道路</w:t>
            </w:r>
          </w:p>
        </w:tc>
        <w:tc>
          <w:tcPr>
            <w:tcW w:w="566" w:type="dxa"/>
            <w:tcBorders>
              <w:tl2br w:val="nil"/>
              <w:tr2bl w:val="nil"/>
            </w:tcBorders>
            <w:noWrap w:val="0"/>
            <w:vAlign w:val="center"/>
          </w:tcPr>
          <w:p w14:paraId="6DD4BD0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491" w:type="dxa"/>
            <w:tcBorders>
              <w:tl2br w:val="nil"/>
              <w:tr2bl w:val="nil"/>
            </w:tcBorders>
            <w:noWrap w:val="0"/>
            <w:vAlign w:val="center"/>
          </w:tcPr>
          <w:p w14:paraId="3EBBE413">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8" w:type="dxa"/>
            <w:tcBorders>
              <w:tl2br w:val="nil"/>
              <w:tr2bl w:val="nil"/>
            </w:tcBorders>
            <w:noWrap w:val="0"/>
            <w:vAlign w:val="center"/>
          </w:tcPr>
          <w:p w14:paraId="0D89F25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C8CDB36">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497" w:type="dxa"/>
            <w:tcBorders>
              <w:tl2br w:val="nil"/>
              <w:tr2bl w:val="nil"/>
            </w:tcBorders>
            <w:noWrap w:val="0"/>
            <w:vAlign w:val="center"/>
          </w:tcPr>
          <w:p w14:paraId="4EC5EB0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086D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1A0CA58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37F5DFB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宗地临街状况</w:t>
            </w:r>
          </w:p>
        </w:tc>
        <w:tc>
          <w:tcPr>
            <w:tcW w:w="726" w:type="dxa"/>
            <w:tcBorders>
              <w:tl2br w:val="nil"/>
              <w:tr2bl w:val="nil"/>
            </w:tcBorders>
            <w:noWrap w:val="0"/>
            <w:vAlign w:val="center"/>
          </w:tcPr>
          <w:p w14:paraId="741785E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三面临街</w:t>
            </w:r>
          </w:p>
        </w:tc>
        <w:tc>
          <w:tcPr>
            <w:tcW w:w="858" w:type="dxa"/>
            <w:tcBorders>
              <w:tl2br w:val="nil"/>
              <w:tr2bl w:val="nil"/>
            </w:tcBorders>
            <w:noWrap w:val="0"/>
            <w:vAlign w:val="center"/>
          </w:tcPr>
          <w:p w14:paraId="2167C2F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两面临街</w:t>
            </w:r>
          </w:p>
        </w:tc>
        <w:tc>
          <w:tcPr>
            <w:tcW w:w="897" w:type="dxa"/>
            <w:tcBorders>
              <w:tl2br w:val="nil"/>
              <w:tr2bl w:val="nil"/>
            </w:tcBorders>
            <w:noWrap w:val="0"/>
            <w:vAlign w:val="center"/>
          </w:tcPr>
          <w:p w14:paraId="50951E4D">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一面临街</w:t>
            </w:r>
          </w:p>
        </w:tc>
        <w:tc>
          <w:tcPr>
            <w:tcW w:w="891" w:type="dxa"/>
            <w:tcBorders>
              <w:tl2br w:val="nil"/>
              <w:tr2bl w:val="nil"/>
            </w:tcBorders>
            <w:noWrap w:val="0"/>
            <w:vAlign w:val="center"/>
          </w:tcPr>
          <w:p w14:paraId="3A73B1C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袋地</w:t>
            </w:r>
          </w:p>
        </w:tc>
        <w:tc>
          <w:tcPr>
            <w:tcW w:w="793" w:type="dxa"/>
            <w:tcBorders>
              <w:tl2br w:val="nil"/>
              <w:tr2bl w:val="nil"/>
            </w:tcBorders>
            <w:noWrap w:val="0"/>
            <w:vAlign w:val="center"/>
          </w:tcPr>
          <w:p w14:paraId="1E7C3C5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袋地（严重影响利用）</w:t>
            </w:r>
          </w:p>
        </w:tc>
        <w:tc>
          <w:tcPr>
            <w:tcW w:w="566" w:type="dxa"/>
            <w:tcBorders>
              <w:tl2br w:val="nil"/>
              <w:tr2bl w:val="nil"/>
            </w:tcBorders>
            <w:noWrap w:val="0"/>
            <w:vAlign w:val="center"/>
          </w:tcPr>
          <w:p w14:paraId="1E03EF9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491" w:type="dxa"/>
            <w:tcBorders>
              <w:tl2br w:val="nil"/>
              <w:tr2bl w:val="nil"/>
            </w:tcBorders>
            <w:noWrap w:val="0"/>
            <w:vAlign w:val="center"/>
          </w:tcPr>
          <w:p w14:paraId="3A22A60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8" w:type="dxa"/>
            <w:tcBorders>
              <w:tl2br w:val="nil"/>
              <w:tr2bl w:val="nil"/>
            </w:tcBorders>
            <w:noWrap w:val="0"/>
            <w:vAlign w:val="center"/>
          </w:tcPr>
          <w:p w14:paraId="48579F2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1F7F551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497" w:type="dxa"/>
            <w:tcBorders>
              <w:tl2br w:val="nil"/>
              <w:tr2bl w:val="nil"/>
            </w:tcBorders>
            <w:noWrap w:val="0"/>
            <w:vAlign w:val="center"/>
          </w:tcPr>
          <w:p w14:paraId="53A252C4">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6EAB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424F41C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0096E0B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宗地宽深比</w:t>
            </w:r>
          </w:p>
        </w:tc>
        <w:tc>
          <w:tcPr>
            <w:tcW w:w="726" w:type="dxa"/>
            <w:tcBorders>
              <w:tl2br w:val="nil"/>
              <w:tr2bl w:val="nil"/>
            </w:tcBorders>
            <w:noWrap w:val="0"/>
            <w:vAlign w:val="center"/>
          </w:tcPr>
          <w:p w14:paraId="0C49ADE9">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＞1.6</w:t>
            </w:r>
          </w:p>
        </w:tc>
        <w:tc>
          <w:tcPr>
            <w:tcW w:w="858" w:type="dxa"/>
            <w:tcBorders>
              <w:tl2br w:val="nil"/>
              <w:tr2bl w:val="nil"/>
            </w:tcBorders>
            <w:noWrap w:val="0"/>
            <w:vAlign w:val="center"/>
          </w:tcPr>
          <w:p w14:paraId="6AC2ABF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1.2-1.6</w:t>
            </w:r>
          </w:p>
        </w:tc>
        <w:tc>
          <w:tcPr>
            <w:tcW w:w="897" w:type="dxa"/>
            <w:tcBorders>
              <w:tl2br w:val="nil"/>
              <w:tr2bl w:val="nil"/>
            </w:tcBorders>
            <w:noWrap w:val="0"/>
            <w:vAlign w:val="center"/>
          </w:tcPr>
          <w:p w14:paraId="67D67A7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0.8-1.2</w:t>
            </w:r>
          </w:p>
        </w:tc>
        <w:tc>
          <w:tcPr>
            <w:tcW w:w="891" w:type="dxa"/>
            <w:tcBorders>
              <w:tl2br w:val="nil"/>
              <w:tr2bl w:val="nil"/>
            </w:tcBorders>
            <w:noWrap w:val="0"/>
            <w:vAlign w:val="center"/>
          </w:tcPr>
          <w:p w14:paraId="1D1808E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0.5-0.8</w:t>
            </w:r>
          </w:p>
        </w:tc>
        <w:tc>
          <w:tcPr>
            <w:tcW w:w="793" w:type="dxa"/>
            <w:tcBorders>
              <w:tl2br w:val="nil"/>
              <w:tr2bl w:val="nil"/>
            </w:tcBorders>
            <w:noWrap w:val="0"/>
            <w:vAlign w:val="center"/>
          </w:tcPr>
          <w:p w14:paraId="3A9E924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&lt;0.5</w:t>
            </w:r>
          </w:p>
        </w:tc>
        <w:tc>
          <w:tcPr>
            <w:tcW w:w="566" w:type="dxa"/>
            <w:tcBorders>
              <w:tl2br w:val="nil"/>
              <w:tr2bl w:val="nil"/>
            </w:tcBorders>
            <w:noWrap w:val="0"/>
            <w:vAlign w:val="center"/>
          </w:tcPr>
          <w:p w14:paraId="44E344B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491" w:type="dxa"/>
            <w:tcBorders>
              <w:tl2br w:val="nil"/>
              <w:tr2bl w:val="nil"/>
            </w:tcBorders>
            <w:noWrap w:val="0"/>
            <w:vAlign w:val="center"/>
          </w:tcPr>
          <w:p w14:paraId="03F5E5E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8" w:type="dxa"/>
            <w:tcBorders>
              <w:tl2br w:val="nil"/>
              <w:tr2bl w:val="nil"/>
            </w:tcBorders>
            <w:noWrap w:val="0"/>
            <w:vAlign w:val="center"/>
          </w:tcPr>
          <w:p w14:paraId="0BA068FC">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2E3E311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497" w:type="dxa"/>
            <w:tcBorders>
              <w:tl2br w:val="nil"/>
              <w:tr2bl w:val="nil"/>
            </w:tcBorders>
            <w:noWrap w:val="0"/>
            <w:vAlign w:val="center"/>
          </w:tcPr>
          <w:p w14:paraId="1F2EA037">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302E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1" w:type="dxa"/>
            <w:vMerge w:val="continue"/>
            <w:tcBorders>
              <w:tl2br w:val="nil"/>
              <w:tr2bl w:val="nil"/>
            </w:tcBorders>
            <w:noWrap w:val="0"/>
            <w:vAlign w:val="center"/>
          </w:tcPr>
          <w:p w14:paraId="5BE3C7C2">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374" w:type="dxa"/>
            <w:gridSpan w:val="2"/>
            <w:tcBorders>
              <w:tl2br w:val="nil"/>
              <w:tr2bl w:val="nil"/>
            </w:tcBorders>
            <w:noWrap w:val="0"/>
            <w:vAlign w:val="center"/>
          </w:tcPr>
          <w:p w14:paraId="79E5F8D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宗地形状</w:t>
            </w:r>
          </w:p>
        </w:tc>
        <w:tc>
          <w:tcPr>
            <w:tcW w:w="726" w:type="dxa"/>
            <w:tcBorders>
              <w:tl2br w:val="nil"/>
              <w:tr2bl w:val="nil"/>
            </w:tcBorders>
            <w:noWrap w:val="0"/>
            <w:vAlign w:val="center"/>
          </w:tcPr>
          <w:p w14:paraId="38D06C91">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规则</w:t>
            </w:r>
          </w:p>
        </w:tc>
        <w:tc>
          <w:tcPr>
            <w:tcW w:w="858" w:type="dxa"/>
            <w:tcBorders>
              <w:tl2br w:val="nil"/>
              <w:tr2bl w:val="nil"/>
            </w:tcBorders>
            <w:noWrap w:val="0"/>
            <w:vAlign w:val="center"/>
          </w:tcPr>
          <w:p w14:paraId="2D75034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较规则</w:t>
            </w:r>
          </w:p>
        </w:tc>
        <w:tc>
          <w:tcPr>
            <w:tcW w:w="897" w:type="dxa"/>
            <w:tcBorders>
              <w:tl2br w:val="nil"/>
              <w:tr2bl w:val="nil"/>
            </w:tcBorders>
            <w:noWrap w:val="0"/>
            <w:vAlign w:val="center"/>
          </w:tcPr>
          <w:p w14:paraId="65A3894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91" w:type="dxa"/>
            <w:tcBorders>
              <w:tl2br w:val="nil"/>
              <w:tr2bl w:val="nil"/>
            </w:tcBorders>
            <w:noWrap w:val="0"/>
            <w:vAlign w:val="center"/>
          </w:tcPr>
          <w:p w14:paraId="36900FC5">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较不规则</w:t>
            </w:r>
          </w:p>
        </w:tc>
        <w:tc>
          <w:tcPr>
            <w:tcW w:w="793" w:type="dxa"/>
            <w:tcBorders>
              <w:tl2br w:val="nil"/>
              <w:tr2bl w:val="nil"/>
            </w:tcBorders>
            <w:noWrap w:val="0"/>
            <w:vAlign w:val="center"/>
          </w:tcPr>
          <w:p w14:paraId="384A9BC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不规则</w:t>
            </w:r>
          </w:p>
        </w:tc>
        <w:tc>
          <w:tcPr>
            <w:tcW w:w="566" w:type="dxa"/>
            <w:tcBorders>
              <w:tl2br w:val="nil"/>
              <w:tr2bl w:val="nil"/>
            </w:tcBorders>
            <w:noWrap w:val="0"/>
            <w:vAlign w:val="center"/>
          </w:tcPr>
          <w:p w14:paraId="0356D5A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c>
          <w:tcPr>
            <w:tcW w:w="491" w:type="dxa"/>
            <w:tcBorders>
              <w:tl2br w:val="nil"/>
              <w:tr2bl w:val="nil"/>
            </w:tcBorders>
            <w:noWrap w:val="0"/>
            <w:vAlign w:val="center"/>
          </w:tcPr>
          <w:p w14:paraId="22575B5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598" w:type="dxa"/>
            <w:tcBorders>
              <w:tl2br w:val="nil"/>
              <w:tr2bl w:val="nil"/>
            </w:tcBorders>
            <w:noWrap w:val="0"/>
            <w:vAlign w:val="center"/>
          </w:tcPr>
          <w:p w14:paraId="22D402E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0.0 </w:t>
            </w:r>
          </w:p>
        </w:tc>
        <w:tc>
          <w:tcPr>
            <w:tcW w:w="598" w:type="dxa"/>
            <w:tcBorders>
              <w:tl2br w:val="nil"/>
              <w:tr2bl w:val="nil"/>
            </w:tcBorders>
            <w:noWrap w:val="0"/>
            <w:vAlign w:val="center"/>
          </w:tcPr>
          <w:p w14:paraId="3FCF1B3E">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-0.5 </w:t>
            </w:r>
          </w:p>
        </w:tc>
        <w:tc>
          <w:tcPr>
            <w:tcW w:w="497" w:type="dxa"/>
            <w:tcBorders>
              <w:tl2br w:val="nil"/>
              <w:tr2bl w:val="nil"/>
            </w:tcBorders>
            <w:noWrap w:val="0"/>
            <w:vAlign w:val="center"/>
          </w:tcPr>
          <w:p w14:paraId="6EDF509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 xml:space="preserve">-1.0 </w:t>
            </w:r>
          </w:p>
        </w:tc>
      </w:tr>
      <w:tr w14:paraId="4408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6150" w:type="dxa"/>
            <w:gridSpan w:val="8"/>
            <w:tcBorders>
              <w:tl2br w:val="nil"/>
              <w:tr2bl w:val="nil"/>
            </w:tcBorders>
            <w:noWrap w:val="0"/>
            <w:vAlign w:val="center"/>
          </w:tcPr>
          <w:p w14:paraId="0C65786A">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合计</w:t>
            </w:r>
          </w:p>
        </w:tc>
        <w:tc>
          <w:tcPr>
            <w:tcW w:w="566" w:type="dxa"/>
            <w:tcBorders>
              <w:tl2br w:val="nil"/>
              <w:tr2bl w:val="nil"/>
            </w:tcBorders>
            <w:noWrap w:val="0"/>
            <w:vAlign w:val="center"/>
          </w:tcPr>
          <w:p w14:paraId="04E34E3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24</w:t>
            </w:r>
            <w:r>
              <w:rPr>
                <w:rFonts w:ascii="Times New Roman" w:hAnsi="Times New Roman" w:eastAsia="方正仿宋_GBK" w:cs="Tahoma"/>
                <w:color w:val="auto"/>
                <w:sz w:val="18"/>
                <w:szCs w:val="18"/>
              </w:rPr>
              <w:fldChar w:fldCharType="end"/>
            </w:r>
          </w:p>
        </w:tc>
        <w:tc>
          <w:tcPr>
            <w:tcW w:w="491" w:type="dxa"/>
            <w:tcBorders>
              <w:tl2br w:val="nil"/>
              <w:tr2bl w:val="nil"/>
            </w:tcBorders>
            <w:noWrap w:val="0"/>
            <w:vAlign w:val="center"/>
          </w:tcPr>
          <w:p w14:paraId="2A8A19C8">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13</w:t>
            </w:r>
            <w:r>
              <w:rPr>
                <w:rFonts w:ascii="Times New Roman" w:hAnsi="Times New Roman" w:eastAsia="方正仿宋_GBK" w:cs="Tahoma"/>
                <w:color w:val="auto"/>
                <w:sz w:val="18"/>
                <w:szCs w:val="18"/>
              </w:rPr>
              <w:fldChar w:fldCharType="end"/>
            </w:r>
          </w:p>
        </w:tc>
        <w:tc>
          <w:tcPr>
            <w:tcW w:w="598" w:type="dxa"/>
            <w:tcBorders>
              <w:tl2br w:val="nil"/>
              <w:tr2bl w:val="nil"/>
            </w:tcBorders>
            <w:noWrap w:val="0"/>
            <w:vAlign w:val="center"/>
          </w:tcPr>
          <w:p w14:paraId="2A2B2EEB">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0.0</w:t>
            </w:r>
            <w:r>
              <w:rPr>
                <w:rFonts w:ascii="Times New Roman" w:hAnsi="Times New Roman" w:eastAsia="方正仿宋_GBK" w:cs="Tahoma"/>
                <w:color w:val="auto"/>
                <w:sz w:val="18"/>
                <w:szCs w:val="18"/>
              </w:rPr>
              <w:fldChar w:fldCharType="end"/>
            </w:r>
          </w:p>
        </w:tc>
        <w:tc>
          <w:tcPr>
            <w:tcW w:w="598" w:type="dxa"/>
            <w:tcBorders>
              <w:tl2br w:val="nil"/>
              <w:tr2bl w:val="nil"/>
            </w:tcBorders>
            <w:noWrap w:val="0"/>
            <w:vAlign w:val="center"/>
          </w:tcPr>
          <w:p w14:paraId="6381847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-13</w:t>
            </w:r>
            <w:r>
              <w:rPr>
                <w:rFonts w:ascii="Times New Roman" w:hAnsi="Times New Roman" w:eastAsia="方正仿宋_GBK" w:cs="Tahoma"/>
                <w:color w:val="auto"/>
                <w:sz w:val="18"/>
                <w:szCs w:val="18"/>
              </w:rPr>
              <w:fldChar w:fldCharType="end"/>
            </w:r>
          </w:p>
        </w:tc>
        <w:tc>
          <w:tcPr>
            <w:tcW w:w="497" w:type="dxa"/>
            <w:tcBorders>
              <w:tl2br w:val="nil"/>
              <w:tr2bl w:val="nil"/>
            </w:tcBorders>
            <w:noWrap w:val="0"/>
            <w:vAlign w:val="center"/>
          </w:tcPr>
          <w:p w14:paraId="6D8E0C9F">
            <w:pPr>
              <w:keepNext w:val="0"/>
              <w:keepLines w:val="0"/>
              <w:pageBreakBefore w:val="0"/>
              <w:widowControl/>
              <w:kinsoku/>
              <w:wordWrap/>
              <w:overflowPunct/>
              <w:topLinePunct w:val="0"/>
              <w:autoSpaceDE/>
              <w:autoSpaceDN/>
              <w:bidi w:val="0"/>
              <w:adjustRightInd/>
              <w:snapToGrid w:val="0"/>
              <w:spacing w:before="0" w:beforeLines="0" w:after="0" w:afterLines="0" w:line="22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-24</w:t>
            </w:r>
            <w:r>
              <w:rPr>
                <w:rFonts w:ascii="Times New Roman" w:hAnsi="Times New Roman" w:eastAsia="方正仿宋_GBK" w:cs="Tahoma"/>
                <w:color w:val="auto"/>
                <w:sz w:val="18"/>
                <w:szCs w:val="18"/>
              </w:rPr>
              <w:fldChar w:fldCharType="end"/>
            </w:r>
          </w:p>
        </w:tc>
      </w:tr>
    </w:tbl>
    <w:p w14:paraId="6370C974">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30"/>
          <w:szCs w:val="30"/>
          <w:lang w:eastAsia="zh-CN"/>
        </w:rPr>
      </w:pPr>
    </w:p>
    <w:p w14:paraId="263102AC">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30"/>
          <w:szCs w:val="30"/>
          <w:lang w:eastAsia="zh-CN"/>
        </w:rPr>
      </w:pPr>
      <w:r>
        <w:rPr>
          <w:rFonts w:hint="eastAsia" w:ascii="方正小标宋_GBK" w:hAnsi="方正小标宋_GBK" w:eastAsia="方正小标宋_GBK" w:cs="方正小标宋_GBK"/>
          <w:sz w:val="30"/>
          <w:szCs w:val="30"/>
          <w:lang w:eastAsia="zh-CN"/>
        </w:rPr>
        <w:t>长寿区住宅用地基准地价修正因素指标说明及修正系数表</w:t>
      </w:r>
    </w:p>
    <w:p w14:paraId="0DBE4ECF">
      <w:pPr>
        <w:pStyle w:val="2"/>
        <w:keepNext w:val="0"/>
        <w:keepLines w:val="0"/>
        <w:pageBreakBefore w:val="0"/>
        <w:widowControl w:val="0"/>
        <w:kinsoku/>
        <w:wordWrap/>
        <w:overflowPunct/>
        <w:topLinePunct w:val="0"/>
        <w:bidi w:val="0"/>
        <w:adjustRightInd w:val="0"/>
        <w:spacing w:line="600" w:lineRule="exact"/>
        <w:textAlignment w:val="auto"/>
        <w:rPr>
          <w:rFonts w:hint="eastAsia"/>
          <w:lang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0"/>
        <w:gridCol w:w="395"/>
        <w:gridCol w:w="1083"/>
        <w:gridCol w:w="832"/>
        <w:gridCol w:w="831"/>
        <w:gridCol w:w="832"/>
        <w:gridCol w:w="832"/>
        <w:gridCol w:w="842"/>
        <w:gridCol w:w="575"/>
        <w:gridCol w:w="601"/>
        <w:gridCol w:w="599"/>
        <w:gridCol w:w="598"/>
        <w:gridCol w:w="600"/>
      </w:tblGrid>
      <w:tr w14:paraId="3975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58" w:type="dxa"/>
            <w:gridSpan w:val="3"/>
            <w:vMerge w:val="restart"/>
            <w:noWrap w:val="0"/>
            <w:vAlign w:val="center"/>
          </w:tcPr>
          <w:p w14:paraId="2270D6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宗地修正因素</w:t>
            </w:r>
          </w:p>
        </w:tc>
        <w:tc>
          <w:tcPr>
            <w:tcW w:w="4169" w:type="dxa"/>
            <w:gridSpan w:val="5"/>
            <w:noWrap w:val="0"/>
            <w:vAlign w:val="center"/>
          </w:tcPr>
          <w:p w14:paraId="7D41712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指标说明</w:t>
            </w:r>
          </w:p>
        </w:tc>
        <w:tc>
          <w:tcPr>
            <w:tcW w:w="2973" w:type="dxa"/>
            <w:gridSpan w:val="5"/>
            <w:noWrap w:val="0"/>
            <w:vAlign w:val="center"/>
          </w:tcPr>
          <w:p w14:paraId="4F7030E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修正系数</w:t>
            </w:r>
          </w:p>
        </w:tc>
      </w:tr>
      <w:tr w14:paraId="6C33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58" w:type="dxa"/>
            <w:gridSpan w:val="3"/>
            <w:vMerge w:val="continue"/>
            <w:noWrap w:val="0"/>
            <w:vAlign w:val="center"/>
          </w:tcPr>
          <w:p w14:paraId="70AFFAE7">
            <w:pPr>
              <w:snapToGrid w:val="0"/>
              <w:jc w:val="center"/>
              <w:rPr>
                <w:rFonts w:ascii="Times New Roman" w:hAnsi="Times New Roman" w:eastAsia="方正仿宋_GBK" w:cs="Tahoma"/>
                <w:color w:val="auto"/>
                <w:sz w:val="18"/>
                <w:szCs w:val="18"/>
              </w:rPr>
            </w:pPr>
          </w:p>
        </w:tc>
        <w:tc>
          <w:tcPr>
            <w:tcW w:w="832" w:type="dxa"/>
            <w:noWrap w:val="0"/>
            <w:vAlign w:val="center"/>
          </w:tcPr>
          <w:p w14:paraId="2E5CE7B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831" w:type="dxa"/>
            <w:noWrap w:val="0"/>
            <w:vAlign w:val="center"/>
          </w:tcPr>
          <w:p w14:paraId="26E47E7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832" w:type="dxa"/>
            <w:noWrap w:val="0"/>
            <w:vAlign w:val="center"/>
          </w:tcPr>
          <w:p w14:paraId="36B2B51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77B5247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842" w:type="dxa"/>
            <w:noWrap w:val="0"/>
            <w:vAlign w:val="center"/>
          </w:tcPr>
          <w:p w14:paraId="161BA5C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c>
          <w:tcPr>
            <w:tcW w:w="575" w:type="dxa"/>
            <w:noWrap w:val="0"/>
            <w:vAlign w:val="center"/>
          </w:tcPr>
          <w:p w14:paraId="442544F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601" w:type="dxa"/>
            <w:noWrap w:val="0"/>
            <w:vAlign w:val="center"/>
          </w:tcPr>
          <w:p w14:paraId="2C38A87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599" w:type="dxa"/>
            <w:noWrap w:val="0"/>
            <w:vAlign w:val="center"/>
          </w:tcPr>
          <w:p w14:paraId="339736C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598" w:type="dxa"/>
            <w:noWrap w:val="0"/>
            <w:vAlign w:val="center"/>
          </w:tcPr>
          <w:p w14:paraId="085839F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600" w:type="dxa"/>
            <w:noWrap w:val="0"/>
            <w:vAlign w:val="center"/>
          </w:tcPr>
          <w:p w14:paraId="127C7C3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r>
      <w:tr w14:paraId="400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restart"/>
            <w:noWrap w:val="0"/>
            <w:vAlign w:val="center"/>
          </w:tcPr>
          <w:p w14:paraId="3BF016F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区域因素</w:t>
            </w:r>
          </w:p>
        </w:tc>
        <w:tc>
          <w:tcPr>
            <w:tcW w:w="395" w:type="dxa"/>
            <w:vMerge w:val="restart"/>
            <w:noWrap w:val="0"/>
            <w:vAlign w:val="center"/>
          </w:tcPr>
          <w:p w14:paraId="6E6A1C8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繁华程度</w:t>
            </w:r>
          </w:p>
        </w:tc>
        <w:tc>
          <w:tcPr>
            <w:tcW w:w="1083" w:type="dxa"/>
            <w:noWrap w:val="0"/>
            <w:vAlign w:val="center"/>
          </w:tcPr>
          <w:p w14:paraId="6A34291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距商服中心距离</w:t>
            </w:r>
          </w:p>
        </w:tc>
        <w:tc>
          <w:tcPr>
            <w:tcW w:w="832" w:type="dxa"/>
            <w:noWrap w:val="0"/>
            <w:vAlign w:val="center"/>
          </w:tcPr>
          <w:p w14:paraId="04C3596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w:t>
            </w:r>
            <w:r>
              <w:rPr>
                <w:rFonts w:ascii="Times New Roman" w:hAnsi="Times New Roman" w:eastAsia="方正仿宋_GBK" w:cs="Tahoma"/>
                <w:color w:val="auto"/>
                <w:sz w:val="18"/>
                <w:szCs w:val="18"/>
              </w:rPr>
              <w:t>4</w:t>
            </w:r>
            <w:r>
              <w:rPr>
                <w:rFonts w:hint="eastAsia" w:ascii="Times New Roman" w:hAnsi="Times New Roman" w:eastAsia="方正仿宋_GBK" w:cs="Tahoma"/>
                <w:color w:val="auto"/>
                <w:sz w:val="18"/>
                <w:szCs w:val="18"/>
              </w:rPr>
              <w:t>00米</w:t>
            </w:r>
          </w:p>
        </w:tc>
        <w:tc>
          <w:tcPr>
            <w:tcW w:w="831" w:type="dxa"/>
            <w:noWrap w:val="0"/>
            <w:vAlign w:val="center"/>
          </w:tcPr>
          <w:p w14:paraId="31CB6DC9">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4</w:t>
            </w:r>
            <w:r>
              <w:rPr>
                <w:rFonts w:hint="eastAsia" w:ascii="Times New Roman" w:hAnsi="Times New Roman" w:eastAsia="方正仿宋_GBK" w:cs="Tahoma"/>
                <w:color w:val="auto"/>
                <w:sz w:val="18"/>
                <w:szCs w:val="18"/>
              </w:rPr>
              <w:t>00-</w:t>
            </w:r>
            <w:r>
              <w:rPr>
                <w:rFonts w:ascii="Times New Roman" w:hAnsi="Times New Roman" w:eastAsia="方正仿宋_GBK" w:cs="Tahoma"/>
                <w:color w:val="auto"/>
                <w:sz w:val="18"/>
                <w:szCs w:val="18"/>
              </w:rPr>
              <w:t>8</w:t>
            </w:r>
            <w:r>
              <w:rPr>
                <w:rFonts w:hint="eastAsia" w:ascii="Times New Roman" w:hAnsi="Times New Roman" w:eastAsia="方正仿宋_GBK" w:cs="Tahoma"/>
                <w:color w:val="auto"/>
                <w:sz w:val="18"/>
                <w:szCs w:val="18"/>
              </w:rPr>
              <w:t>00米</w:t>
            </w:r>
          </w:p>
        </w:tc>
        <w:tc>
          <w:tcPr>
            <w:tcW w:w="832" w:type="dxa"/>
            <w:noWrap w:val="0"/>
            <w:vAlign w:val="center"/>
          </w:tcPr>
          <w:p w14:paraId="4B8064B9">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8</w:t>
            </w:r>
            <w:r>
              <w:rPr>
                <w:rFonts w:hint="eastAsia" w:ascii="Times New Roman" w:hAnsi="Times New Roman" w:eastAsia="方正仿宋_GBK" w:cs="Tahoma"/>
                <w:color w:val="auto"/>
                <w:sz w:val="18"/>
                <w:szCs w:val="18"/>
              </w:rPr>
              <w:t>00-1</w:t>
            </w:r>
            <w:r>
              <w:rPr>
                <w:rFonts w:ascii="Times New Roman" w:hAnsi="Times New Roman" w:eastAsia="方正仿宋_GBK" w:cs="Tahoma"/>
                <w:color w:val="auto"/>
                <w:sz w:val="18"/>
                <w:szCs w:val="18"/>
              </w:rPr>
              <w:t>5</w:t>
            </w:r>
            <w:r>
              <w:rPr>
                <w:rFonts w:hint="eastAsia" w:ascii="Times New Roman" w:hAnsi="Times New Roman" w:eastAsia="方正仿宋_GBK" w:cs="Tahoma"/>
                <w:color w:val="auto"/>
                <w:sz w:val="18"/>
                <w:szCs w:val="18"/>
              </w:rPr>
              <w:t>00米</w:t>
            </w:r>
          </w:p>
        </w:tc>
        <w:tc>
          <w:tcPr>
            <w:tcW w:w="832" w:type="dxa"/>
            <w:noWrap w:val="0"/>
            <w:vAlign w:val="center"/>
          </w:tcPr>
          <w:p w14:paraId="27FAC3C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w:t>
            </w:r>
            <w:r>
              <w:rPr>
                <w:rFonts w:ascii="Times New Roman" w:hAnsi="Times New Roman" w:eastAsia="方正仿宋_GBK" w:cs="Tahoma"/>
                <w:color w:val="auto"/>
                <w:sz w:val="18"/>
                <w:szCs w:val="18"/>
              </w:rPr>
              <w:t>5</w:t>
            </w:r>
            <w:r>
              <w:rPr>
                <w:rFonts w:hint="eastAsia" w:ascii="Times New Roman" w:hAnsi="Times New Roman" w:eastAsia="方正仿宋_GBK" w:cs="Tahoma"/>
                <w:color w:val="auto"/>
                <w:sz w:val="18"/>
                <w:szCs w:val="18"/>
              </w:rPr>
              <w:t>00-</w:t>
            </w:r>
            <w:r>
              <w:rPr>
                <w:rFonts w:ascii="Times New Roman" w:hAnsi="Times New Roman" w:eastAsia="方正仿宋_GBK" w:cs="Tahoma"/>
                <w:color w:val="auto"/>
                <w:sz w:val="18"/>
                <w:szCs w:val="18"/>
              </w:rPr>
              <w:t>2000</w:t>
            </w:r>
            <w:r>
              <w:rPr>
                <w:rFonts w:hint="eastAsia" w:ascii="Times New Roman" w:hAnsi="Times New Roman" w:eastAsia="方正仿宋_GBK" w:cs="Tahoma"/>
                <w:color w:val="auto"/>
                <w:sz w:val="18"/>
                <w:szCs w:val="18"/>
              </w:rPr>
              <w:t>米</w:t>
            </w:r>
          </w:p>
        </w:tc>
        <w:tc>
          <w:tcPr>
            <w:tcW w:w="842" w:type="dxa"/>
            <w:noWrap w:val="0"/>
            <w:vAlign w:val="center"/>
          </w:tcPr>
          <w:p w14:paraId="65ADE00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w:t>
            </w:r>
            <w:r>
              <w:rPr>
                <w:rFonts w:ascii="Times New Roman" w:hAnsi="Times New Roman" w:eastAsia="方正仿宋_GBK" w:cs="Tahoma"/>
                <w:color w:val="auto"/>
                <w:sz w:val="18"/>
                <w:szCs w:val="18"/>
              </w:rPr>
              <w:t>2000</w:t>
            </w:r>
            <w:r>
              <w:rPr>
                <w:rFonts w:hint="eastAsia" w:ascii="Times New Roman" w:hAnsi="Times New Roman" w:eastAsia="方正仿宋_GBK" w:cs="Tahoma"/>
                <w:color w:val="auto"/>
                <w:sz w:val="18"/>
                <w:szCs w:val="18"/>
              </w:rPr>
              <w:t>米</w:t>
            </w:r>
          </w:p>
        </w:tc>
        <w:tc>
          <w:tcPr>
            <w:tcW w:w="575" w:type="dxa"/>
            <w:noWrap w:val="0"/>
            <w:vAlign w:val="center"/>
          </w:tcPr>
          <w:p w14:paraId="6CA29CB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5541652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475429C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3E187D9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1E303A3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41BF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73AFBC33">
            <w:pPr>
              <w:snapToGrid w:val="0"/>
              <w:jc w:val="center"/>
              <w:rPr>
                <w:rFonts w:ascii="Times New Roman" w:hAnsi="Times New Roman" w:eastAsia="方正仿宋_GBK" w:cs="Tahoma"/>
                <w:color w:val="auto"/>
                <w:sz w:val="18"/>
                <w:szCs w:val="18"/>
              </w:rPr>
            </w:pPr>
          </w:p>
        </w:tc>
        <w:tc>
          <w:tcPr>
            <w:tcW w:w="395" w:type="dxa"/>
            <w:vMerge w:val="continue"/>
            <w:noWrap w:val="0"/>
            <w:vAlign w:val="center"/>
          </w:tcPr>
          <w:p w14:paraId="5D93A035">
            <w:pPr>
              <w:snapToGrid w:val="0"/>
              <w:jc w:val="center"/>
              <w:rPr>
                <w:rFonts w:ascii="Times New Roman" w:hAnsi="Times New Roman" w:eastAsia="方正仿宋_GBK" w:cs="Tahoma"/>
                <w:color w:val="auto"/>
                <w:sz w:val="18"/>
                <w:szCs w:val="18"/>
              </w:rPr>
            </w:pPr>
          </w:p>
        </w:tc>
        <w:tc>
          <w:tcPr>
            <w:tcW w:w="1083" w:type="dxa"/>
            <w:noWrap w:val="0"/>
            <w:vAlign w:val="center"/>
          </w:tcPr>
          <w:p w14:paraId="4FC7B0E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道路通达度</w:t>
            </w:r>
          </w:p>
        </w:tc>
        <w:tc>
          <w:tcPr>
            <w:tcW w:w="832" w:type="dxa"/>
            <w:noWrap w:val="0"/>
            <w:vAlign w:val="center"/>
          </w:tcPr>
          <w:p w14:paraId="7D2FCD1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有生活型主干道通过</w:t>
            </w:r>
          </w:p>
        </w:tc>
        <w:tc>
          <w:tcPr>
            <w:tcW w:w="831" w:type="dxa"/>
            <w:noWrap w:val="0"/>
            <w:vAlign w:val="center"/>
          </w:tcPr>
          <w:p w14:paraId="1FE7F5F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有混合型主干道通过</w:t>
            </w:r>
          </w:p>
        </w:tc>
        <w:tc>
          <w:tcPr>
            <w:tcW w:w="832" w:type="dxa"/>
            <w:noWrap w:val="0"/>
            <w:vAlign w:val="center"/>
          </w:tcPr>
          <w:p w14:paraId="7C4E968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有生活型次干道通过</w:t>
            </w:r>
          </w:p>
        </w:tc>
        <w:tc>
          <w:tcPr>
            <w:tcW w:w="832" w:type="dxa"/>
            <w:noWrap w:val="0"/>
            <w:vAlign w:val="center"/>
          </w:tcPr>
          <w:p w14:paraId="773094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交通型道路通过</w:t>
            </w:r>
          </w:p>
        </w:tc>
        <w:tc>
          <w:tcPr>
            <w:tcW w:w="842" w:type="dxa"/>
            <w:noWrap w:val="0"/>
            <w:vAlign w:val="center"/>
          </w:tcPr>
          <w:p w14:paraId="001B873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支路通过</w:t>
            </w:r>
          </w:p>
        </w:tc>
        <w:tc>
          <w:tcPr>
            <w:tcW w:w="575" w:type="dxa"/>
            <w:noWrap w:val="0"/>
            <w:vAlign w:val="center"/>
          </w:tcPr>
          <w:p w14:paraId="6CEF485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2CF2DB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49DEA8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5D3E438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01B8547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3303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6DB3BB81">
            <w:pPr>
              <w:snapToGrid w:val="0"/>
              <w:jc w:val="center"/>
              <w:rPr>
                <w:rFonts w:ascii="Times New Roman" w:hAnsi="Times New Roman" w:eastAsia="方正仿宋_GBK" w:cs="Tahoma"/>
                <w:color w:val="auto"/>
                <w:sz w:val="18"/>
                <w:szCs w:val="18"/>
              </w:rPr>
            </w:pPr>
          </w:p>
        </w:tc>
        <w:tc>
          <w:tcPr>
            <w:tcW w:w="395" w:type="dxa"/>
            <w:vMerge w:val="continue"/>
            <w:noWrap w:val="0"/>
            <w:vAlign w:val="center"/>
          </w:tcPr>
          <w:p w14:paraId="06A267D0">
            <w:pPr>
              <w:snapToGrid w:val="0"/>
              <w:jc w:val="center"/>
              <w:rPr>
                <w:rFonts w:ascii="Times New Roman" w:hAnsi="Times New Roman" w:eastAsia="方正仿宋_GBK" w:cs="Tahoma"/>
                <w:color w:val="auto"/>
                <w:sz w:val="18"/>
                <w:szCs w:val="18"/>
              </w:rPr>
            </w:pPr>
          </w:p>
        </w:tc>
        <w:tc>
          <w:tcPr>
            <w:tcW w:w="1083" w:type="dxa"/>
            <w:noWrap w:val="0"/>
            <w:vAlign w:val="center"/>
          </w:tcPr>
          <w:p w14:paraId="4BE5D81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公交线路数(半径200m范围内)</w:t>
            </w:r>
          </w:p>
        </w:tc>
        <w:tc>
          <w:tcPr>
            <w:tcW w:w="832" w:type="dxa"/>
            <w:noWrap w:val="0"/>
            <w:vAlign w:val="center"/>
          </w:tcPr>
          <w:p w14:paraId="5D35B53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5条以上公交线路通过</w:t>
            </w:r>
          </w:p>
        </w:tc>
        <w:tc>
          <w:tcPr>
            <w:tcW w:w="831" w:type="dxa"/>
            <w:noWrap w:val="0"/>
            <w:vAlign w:val="center"/>
          </w:tcPr>
          <w:p w14:paraId="30FAD45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3-4条公交线路</w:t>
            </w:r>
          </w:p>
        </w:tc>
        <w:tc>
          <w:tcPr>
            <w:tcW w:w="832" w:type="dxa"/>
            <w:noWrap w:val="0"/>
            <w:vAlign w:val="center"/>
          </w:tcPr>
          <w:p w14:paraId="20AE604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2条公交线路</w:t>
            </w:r>
          </w:p>
        </w:tc>
        <w:tc>
          <w:tcPr>
            <w:tcW w:w="832" w:type="dxa"/>
            <w:noWrap w:val="0"/>
            <w:vAlign w:val="center"/>
          </w:tcPr>
          <w:p w14:paraId="5E54A17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1条公交线路</w:t>
            </w:r>
          </w:p>
        </w:tc>
        <w:tc>
          <w:tcPr>
            <w:tcW w:w="842" w:type="dxa"/>
            <w:noWrap w:val="0"/>
            <w:vAlign w:val="center"/>
          </w:tcPr>
          <w:p w14:paraId="31E5ECA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无公交线路</w:t>
            </w:r>
          </w:p>
        </w:tc>
        <w:tc>
          <w:tcPr>
            <w:tcW w:w="575" w:type="dxa"/>
            <w:noWrap w:val="0"/>
            <w:vAlign w:val="center"/>
          </w:tcPr>
          <w:p w14:paraId="2324F10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0C36C65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12402E2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2668B35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17AA58E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4B46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2EA6FEAF">
            <w:pPr>
              <w:snapToGrid w:val="0"/>
              <w:jc w:val="center"/>
              <w:rPr>
                <w:rFonts w:ascii="Times New Roman" w:hAnsi="Times New Roman" w:eastAsia="方正仿宋_GBK" w:cs="Tahoma"/>
                <w:color w:val="auto"/>
                <w:sz w:val="18"/>
                <w:szCs w:val="18"/>
              </w:rPr>
            </w:pPr>
          </w:p>
        </w:tc>
        <w:tc>
          <w:tcPr>
            <w:tcW w:w="395" w:type="dxa"/>
            <w:noWrap w:val="0"/>
            <w:vAlign w:val="center"/>
          </w:tcPr>
          <w:p w14:paraId="60C07A5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w:t>
            </w:r>
          </w:p>
        </w:tc>
        <w:tc>
          <w:tcPr>
            <w:tcW w:w="1083" w:type="dxa"/>
            <w:noWrap w:val="0"/>
            <w:vAlign w:val="center"/>
          </w:tcPr>
          <w:p w14:paraId="4B88102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基础设施完善度</w:t>
            </w:r>
          </w:p>
        </w:tc>
        <w:tc>
          <w:tcPr>
            <w:tcW w:w="832" w:type="dxa"/>
            <w:noWrap w:val="0"/>
            <w:vAlign w:val="center"/>
          </w:tcPr>
          <w:p w14:paraId="5588500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供水、供电、供气设施齐备，保障度高</w:t>
            </w:r>
          </w:p>
        </w:tc>
        <w:tc>
          <w:tcPr>
            <w:tcW w:w="831" w:type="dxa"/>
            <w:noWrap w:val="0"/>
            <w:vAlign w:val="center"/>
          </w:tcPr>
          <w:p w14:paraId="39F2129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供水、供电、供气设施齐备，保障度较高</w:t>
            </w:r>
          </w:p>
        </w:tc>
        <w:tc>
          <w:tcPr>
            <w:tcW w:w="832" w:type="dxa"/>
            <w:noWrap w:val="0"/>
            <w:vAlign w:val="center"/>
          </w:tcPr>
          <w:p w14:paraId="45779E0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供水、供电、供气设施基本齐备，有一定保障</w:t>
            </w:r>
          </w:p>
        </w:tc>
        <w:tc>
          <w:tcPr>
            <w:tcW w:w="832" w:type="dxa"/>
            <w:noWrap w:val="0"/>
            <w:vAlign w:val="center"/>
          </w:tcPr>
          <w:p w14:paraId="5A20AC2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供水、供电、供气设施不齐备，保障度较低</w:t>
            </w:r>
          </w:p>
        </w:tc>
        <w:tc>
          <w:tcPr>
            <w:tcW w:w="842" w:type="dxa"/>
            <w:noWrap w:val="0"/>
            <w:vAlign w:val="center"/>
          </w:tcPr>
          <w:p w14:paraId="2103449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供水、供电、供气设施不齐备，保障度低</w:t>
            </w:r>
          </w:p>
        </w:tc>
        <w:tc>
          <w:tcPr>
            <w:tcW w:w="575" w:type="dxa"/>
            <w:noWrap w:val="0"/>
            <w:vAlign w:val="center"/>
          </w:tcPr>
          <w:p w14:paraId="2447B09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17466D1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74AA81C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479D04B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03D8A99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2169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1BDE279D">
            <w:pPr>
              <w:snapToGrid w:val="0"/>
              <w:jc w:val="center"/>
              <w:rPr>
                <w:rFonts w:ascii="Times New Roman" w:hAnsi="Times New Roman" w:eastAsia="方正仿宋_GBK" w:cs="Tahoma"/>
                <w:color w:val="auto"/>
                <w:sz w:val="18"/>
                <w:szCs w:val="18"/>
              </w:rPr>
            </w:pPr>
          </w:p>
        </w:tc>
        <w:tc>
          <w:tcPr>
            <w:tcW w:w="395" w:type="dxa"/>
            <w:noWrap w:val="0"/>
            <w:vAlign w:val="center"/>
          </w:tcPr>
          <w:p w14:paraId="05110E2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公用设施</w:t>
            </w:r>
          </w:p>
        </w:tc>
        <w:tc>
          <w:tcPr>
            <w:tcW w:w="1083" w:type="dxa"/>
            <w:noWrap w:val="0"/>
            <w:vAlign w:val="center"/>
          </w:tcPr>
          <w:p w14:paraId="4D0BC3B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学校、医院等公用服务设施完备度</w:t>
            </w:r>
          </w:p>
        </w:tc>
        <w:tc>
          <w:tcPr>
            <w:tcW w:w="832" w:type="dxa"/>
            <w:noWrap w:val="0"/>
            <w:vAlign w:val="center"/>
          </w:tcPr>
          <w:p w14:paraId="6B11C4C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各类公用服务设施齐全，能很好满足居民生活</w:t>
            </w:r>
          </w:p>
        </w:tc>
        <w:tc>
          <w:tcPr>
            <w:tcW w:w="831" w:type="dxa"/>
            <w:noWrap w:val="0"/>
            <w:vAlign w:val="center"/>
          </w:tcPr>
          <w:p w14:paraId="658DE71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公用服务设施较齐全，能较好满足居民生活</w:t>
            </w:r>
          </w:p>
        </w:tc>
        <w:tc>
          <w:tcPr>
            <w:tcW w:w="832" w:type="dxa"/>
            <w:noWrap w:val="0"/>
            <w:vAlign w:val="center"/>
          </w:tcPr>
          <w:p w14:paraId="686305F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公用服务设施基本齐全，基本能满足居民生活</w:t>
            </w:r>
          </w:p>
        </w:tc>
        <w:tc>
          <w:tcPr>
            <w:tcW w:w="832" w:type="dxa"/>
            <w:noWrap w:val="0"/>
            <w:vAlign w:val="center"/>
          </w:tcPr>
          <w:p w14:paraId="3B5BF95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公用服务设施不够齐全, 对居民生活有一定影响</w:t>
            </w:r>
          </w:p>
        </w:tc>
        <w:tc>
          <w:tcPr>
            <w:tcW w:w="842" w:type="dxa"/>
            <w:noWrap w:val="0"/>
            <w:vAlign w:val="center"/>
          </w:tcPr>
          <w:p w14:paraId="0C6A0A7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仅零星设施分布有少量公用服务设施</w:t>
            </w:r>
          </w:p>
        </w:tc>
        <w:tc>
          <w:tcPr>
            <w:tcW w:w="575" w:type="dxa"/>
            <w:noWrap w:val="0"/>
            <w:vAlign w:val="center"/>
          </w:tcPr>
          <w:p w14:paraId="7EE69D8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5FF691D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5891B85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1A29206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409D638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4C26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2C232560">
            <w:pPr>
              <w:snapToGrid w:val="0"/>
              <w:jc w:val="center"/>
              <w:rPr>
                <w:rFonts w:ascii="Times New Roman" w:hAnsi="Times New Roman" w:eastAsia="方正仿宋_GBK" w:cs="Tahoma"/>
                <w:color w:val="auto"/>
                <w:sz w:val="18"/>
                <w:szCs w:val="18"/>
              </w:rPr>
            </w:pPr>
          </w:p>
        </w:tc>
        <w:tc>
          <w:tcPr>
            <w:tcW w:w="395" w:type="dxa"/>
            <w:noWrap w:val="0"/>
            <w:vAlign w:val="center"/>
          </w:tcPr>
          <w:p w14:paraId="607F159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人口状况</w:t>
            </w:r>
          </w:p>
        </w:tc>
        <w:tc>
          <w:tcPr>
            <w:tcW w:w="1083" w:type="dxa"/>
            <w:noWrap w:val="0"/>
            <w:vAlign w:val="center"/>
          </w:tcPr>
          <w:p w14:paraId="0767DA5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人口密度</w:t>
            </w:r>
          </w:p>
        </w:tc>
        <w:tc>
          <w:tcPr>
            <w:tcW w:w="832" w:type="dxa"/>
            <w:noWrap w:val="0"/>
            <w:vAlign w:val="center"/>
          </w:tcPr>
          <w:p w14:paraId="48BAF3A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w:t>
            </w:r>
          </w:p>
        </w:tc>
        <w:tc>
          <w:tcPr>
            <w:tcW w:w="831" w:type="dxa"/>
            <w:noWrap w:val="0"/>
            <w:vAlign w:val="center"/>
          </w:tcPr>
          <w:p w14:paraId="05AB6FB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较高</w:t>
            </w:r>
          </w:p>
        </w:tc>
        <w:tc>
          <w:tcPr>
            <w:tcW w:w="832" w:type="dxa"/>
            <w:noWrap w:val="0"/>
            <w:vAlign w:val="center"/>
          </w:tcPr>
          <w:p w14:paraId="408747A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54A150B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较低</w:t>
            </w:r>
          </w:p>
        </w:tc>
        <w:tc>
          <w:tcPr>
            <w:tcW w:w="842" w:type="dxa"/>
            <w:noWrap w:val="0"/>
            <w:vAlign w:val="center"/>
          </w:tcPr>
          <w:p w14:paraId="4CD1BC1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w:t>
            </w:r>
          </w:p>
        </w:tc>
        <w:tc>
          <w:tcPr>
            <w:tcW w:w="575" w:type="dxa"/>
            <w:noWrap w:val="0"/>
            <w:vAlign w:val="center"/>
          </w:tcPr>
          <w:p w14:paraId="414E366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5645321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1382331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70FEE6B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0" w:type="dxa"/>
            <w:noWrap w:val="0"/>
            <w:vAlign w:val="center"/>
          </w:tcPr>
          <w:p w14:paraId="5CEE5C1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76CA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5AC6F8D7">
            <w:pPr>
              <w:snapToGrid w:val="0"/>
              <w:jc w:val="center"/>
              <w:rPr>
                <w:rFonts w:ascii="Times New Roman" w:hAnsi="Times New Roman" w:eastAsia="方正仿宋_GBK" w:cs="Tahoma"/>
                <w:color w:val="auto"/>
                <w:sz w:val="18"/>
                <w:szCs w:val="18"/>
              </w:rPr>
            </w:pPr>
          </w:p>
        </w:tc>
        <w:tc>
          <w:tcPr>
            <w:tcW w:w="395" w:type="dxa"/>
            <w:noWrap w:val="0"/>
            <w:vAlign w:val="center"/>
          </w:tcPr>
          <w:p w14:paraId="12C45E3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规划状况</w:t>
            </w:r>
          </w:p>
        </w:tc>
        <w:tc>
          <w:tcPr>
            <w:tcW w:w="1083" w:type="dxa"/>
            <w:noWrap w:val="0"/>
            <w:vAlign w:val="center"/>
          </w:tcPr>
          <w:p w14:paraId="4791AAE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城市规划</w:t>
            </w:r>
          </w:p>
        </w:tc>
        <w:tc>
          <w:tcPr>
            <w:tcW w:w="832" w:type="dxa"/>
            <w:noWrap w:val="0"/>
            <w:vAlign w:val="center"/>
          </w:tcPr>
          <w:p w14:paraId="7054908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低密度高档住宅区</w:t>
            </w:r>
          </w:p>
        </w:tc>
        <w:tc>
          <w:tcPr>
            <w:tcW w:w="831" w:type="dxa"/>
            <w:noWrap w:val="0"/>
            <w:vAlign w:val="center"/>
          </w:tcPr>
          <w:p w14:paraId="44787B4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教学、科研、机关宿舍区及住宅小区</w:t>
            </w:r>
          </w:p>
        </w:tc>
        <w:tc>
          <w:tcPr>
            <w:tcW w:w="832" w:type="dxa"/>
            <w:noWrap w:val="0"/>
            <w:vAlign w:val="center"/>
          </w:tcPr>
          <w:p w14:paraId="0B3BE86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普通住宅区</w:t>
            </w:r>
          </w:p>
        </w:tc>
        <w:tc>
          <w:tcPr>
            <w:tcW w:w="832" w:type="dxa"/>
            <w:noWrap w:val="0"/>
            <w:vAlign w:val="center"/>
          </w:tcPr>
          <w:p w14:paraId="02A877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工矿区配套住宅</w:t>
            </w:r>
          </w:p>
        </w:tc>
        <w:tc>
          <w:tcPr>
            <w:tcW w:w="842" w:type="dxa"/>
            <w:noWrap w:val="0"/>
            <w:vAlign w:val="center"/>
          </w:tcPr>
          <w:p w14:paraId="206139C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尚未开发</w:t>
            </w:r>
          </w:p>
        </w:tc>
        <w:tc>
          <w:tcPr>
            <w:tcW w:w="575" w:type="dxa"/>
            <w:noWrap w:val="0"/>
            <w:vAlign w:val="center"/>
          </w:tcPr>
          <w:p w14:paraId="3ED0404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58863A7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456753B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2943EED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7B22E2D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100B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restart"/>
            <w:noWrap w:val="0"/>
            <w:vAlign w:val="center"/>
          </w:tcPr>
          <w:p w14:paraId="571DD2B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个别因素</w:t>
            </w:r>
          </w:p>
        </w:tc>
        <w:tc>
          <w:tcPr>
            <w:tcW w:w="1478" w:type="dxa"/>
            <w:gridSpan w:val="2"/>
            <w:noWrap w:val="0"/>
            <w:vAlign w:val="center"/>
          </w:tcPr>
          <w:p w14:paraId="29CB91D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距公交站点的距离</w:t>
            </w:r>
          </w:p>
        </w:tc>
        <w:tc>
          <w:tcPr>
            <w:tcW w:w="832" w:type="dxa"/>
            <w:noWrap w:val="0"/>
            <w:vAlign w:val="center"/>
          </w:tcPr>
          <w:p w14:paraId="1B4E9ED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＜200米</w:t>
            </w:r>
          </w:p>
        </w:tc>
        <w:tc>
          <w:tcPr>
            <w:tcW w:w="831" w:type="dxa"/>
            <w:noWrap w:val="0"/>
            <w:vAlign w:val="center"/>
          </w:tcPr>
          <w:p w14:paraId="5EC2DF4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200-300米</w:t>
            </w:r>
          </w:p>
        </w:tc>
        <w:tc>
          <w:tcPr>
            <w:tcW w:w="832" w:type="dxa"/>
            <w:noWrap w:val="0"/>
            <w:vAlign w:val="center"/>
          </w:tcPr>
          <w:p w14:paraId="5A9EDAA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300-400米</w:t>
            </w:r>
          </w:p>
        </w:tc>
        <w:tc>
          <w:tcPr>
            <w:tcW w:w="832" w:type="dxa"/>
            <w:noWrap w:val="0"/>
            <w:vAlign w:val="center"/>
          </w:tcPr>
          <w:p w14:paraId="1CFBA31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400-500米</w:t>
            </w:r>
          </w:p>
        </w:tc>
        <w:tc>
          <w:tcPr>
            <w:tcW w:w="842" w:type="dxa"/>
            <w:noWrap w:val="0"/>
            <w:vAlign w:val="center"/>
          </w:tcPr>
          <w:p w14:paraId="2FF6EF9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575" w:type="dxa"/>
            <w:noWrap w:val="0"/>
            <w:vAlign w:val="center"/>
          </w:tcPr>
          <w:p w14:paraId="1038710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7030485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5D8002A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5FC4106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678DC16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3E32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7B3B3118">
            <w:pPr>
              <w:snapToGrid w:val="0"/>
              <w:jc w:val="center"/>
              <w:rPr>
                <w:rFonts w:ascii="Times New Roman" w:hAnsi="Times New Roman" w:eastAsia="方正仿宋_GBK" w:cs="Tahoma"/>
                <w:color w:val="auto"/>
                <w:sz w:val="18"/>
                <w:szCs w:val="18"/>
              </w:rPr>
            </w:pPr>
          </w:p>
        </w:tc>
        <w:tc>
          <w:tcPr>
            <w:tcW w:w="1478" w:type="dxa"/>
            <w:gridSpan w:val="2"/>
            <w:noWrap w:val="0"/>
            <w:vAlign w:val="center"/>
          </w:tcPr>
          <w:p w14:paraId="7C1EEB7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距江景、山景资源距离</w:t>
            </w:r>
          </w:p>
        </w:tc>
        <w:tc>
          <w:tcPr>
            <w:tcW w:w="832" w:type="dxa"/>
            <w:noWrap w:val="0"/>
            <w:vAlign w:val="center"/>
          </w:tcPr>
          <w:p w14:paraId="49C375A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＜300米</w:t>
            </w:r>
          </w:p>
        </w:tc>
        <w:tc>
          <w:tcPr>
            <w:tcW w:w="831" w:type="dxa"/>
            <w:noWrap w:val="0"/>
            <w:vAlign w:val="center"/>
          </w:tcPr>
          <w:p w14:paraId="22BCB2E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300-500米</w:t>
            </w:r>
          </w:p>
        </w:tc>
        <w:tc>
          <w:tcPr>
            <w:tcW w:w="832" w:type="dxa"/>
            <w:noWrap w:val="0"/>
            <w:vAlign w:val="center"/>
          </w:tcPr>
          <w:p w14:paraId="79FEE5A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32" w:type="dxa"/>
            <w:noWrap w:val="0"/>
            <w:vAlign w:val="center"/>
          </w:tcPr>
          <w:p w14:paraId="1516973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42" w:type="dxa"/>
            <w:noWrap w:val="0"/>
            <w:vAlign w:val="center"/>
          </w:tcPr>
          <w:p w14:paraId="6CD8B67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＞2000米</w:t>
            </w:r>
          </w:p>
        </w:tc>
        <w:tc>
          <w:tcPr>
            <w:tcW w:w="575" w:type="dxa"/>
            <w:noWrap w:val="0"/>
            <w:vAlign w:val="center"/>
          </w:tcPr>
          <w:p w14:paraId="716ED23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69BBAD9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2BD32A2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4ADF088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11251A0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0A94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63541BD5">
            <w:pPr>
              <w:snapToGrid w:val="0"/>
              <w:jc w:val="center"/>
              <w:rPr>
                <w:rFonts w:ascii="Times New Roman" w:hAnsi="Times New Roman" w:eastAsia="方正仿宋_GBK" w:cs="Tahoma"/>
                <w:color w:val="auto"/>
                <w:sz w:val="18"/>
                <w:szCs w:val="18"/>
              </w:rPr>
            </w:pPr>
          </w:p>
        </w:tc>
        <w:tc>
          <w:tcPr>
            <w:tcW w:w="1478" w:type="dxa"/>
            <w:gridSpan w:val="2"/>
            <w:noWrap w:val="0"/>
            <w:vAlign w:val="center"/>
          </w:tcPr>
          <w:p w14:paraId="1FCE556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噪声、大气污染</w:t>
            </w:r>
          </w:p>
        </w:tc>
        <w:tc>
          <w:tcPr>
            <w:tcW w:w="832" w:type="dxa"/>
            <w:noWrap w:val="0"/>
            <w:vAlign w:val="center"/>
          </w:tcPr>
          <w:p w14:paraId="3E0781D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831" w:type="dxa"/>
            <w:noWrap w:val="0"/>
            <w:vAlign w:val="center"/>
          </w:tcPr>
          <w:p w14:paraId="1F4C2E8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轻微污染</w:t>
            </w:r>
          </w:p>
        </w:tc>
        <w:tc>
          <w:tcPr>
            <w:tcW w:w="832" w:type="dxa"/>
            <w:noWrap w:val="0"/>
            <w:vAlign w:val="center"/>
          </w:tcPr>
          <w:p w14:paraId="5301232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658EFE4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较重污染</w:t>
            </w:r>
          </w:p>
        </w:tc>
        <w:tc>
          <w:tcPr>
            <w:tcW w:w="842" w:type="dxa"/>
            <w:noWrap w:val="0"/>
            <w:vAlign w:val="center"/>
          </w:tcPr>
          <w:p w14:paraId="70D63CB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严重污染</w:t>
            </w:r>
          </w:p>
        </w:tc>
        <w:tc>
          <w:tcPr>
            <w:tcW w:w="575" w:type="dxa"/>
            <w:noWrap w:val="0"/>
            <w:vAlign w:val="center"/>
          </w:tcPr>
          <w:p w14:paraId="400F9AC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12BCF49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3DA8E2A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64C3B37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0" w:type="dxa"/>
            <w:noWrap w:val="0"/>
            <w:vAlign w:val="center"/>
          </w:tcPr>
          <w:p w14:paraId="407EAAD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5469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4C29758E">
            <w:pPr>
              <w:snapToGrid w:val="0"/>
              <w:jc w:val="center"/>
              <w:rPr>
                <w:rFonts w:ascii="Times New Roman" w:hAnsi="Times New Roman" w:eastAsia="方正仿宋_GBK" w:cs="Tahoma"/>
                <w:color w:val="auto"/>
                <w:sz w:val="18"/>
                <w:szCs w:val="18"/>
              </w:rPr>
            </w:pPr>
          </w:p>
        </w:tc>
        <w:tc>
          <w:tcPr>
            <w:tcW w:w="1478" w:type="dxa"/>
            <w:gridSpan w:val="2"/>
            <w:noWrap w:val="0"/>
            <w:vAlign w:val="center"/>
          </w:tcPr>
          <w:p w14:paraId="4AB4EB7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宗地坡度</w:t>
            </w:r>
          </w:p>
        </w:tc>
        <w:tc>
          <w:tcPr>
            <w:tcW w:w="832" w:type="dxa"/>
            <w:noWrap w:val="0"/>
            <w:vAlign w:val="center"/>
          </w:tcPr>
          <w:p w14:paraId="0F8732D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w:t>
            </w:r>
          </w:p>
        </w:tc>
        <w:tc>
          <w:tcPr>
            <w:tcW w:w="831" w:type="dxa"/>
            <w:noWrap w:val="0"/>
            <w:vAlign w:val="center"/>
          </w:tcPr>
          <w:p w14:paraId="59C4F28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5-10</w:t>
            </w:r>
          </w:p>
        </w:tc>
        <w:tc>
          <w:tcPr>
            <w:tcW w:w="832" w:type="dxa"/>
            <w:noWrap w:val="0"/>
            <w:vAlign w:val="center"/>
          </w:tcPr>
          <w:p w14:paraId="02C7D5E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10-15</w:t>
            </w:r>
          </w:p>
        </w:tc>
        <w:tc>
          <w:tcPr>
            <w:tcW w:w="832" w:type="dxa"/>
            <w:noWrap w:val="0"/>
            <w:vAlign w:val="center"/>
          </w:tcPr>
          <w:p w14:paraId="4BC6A70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15-25</w:t>
            </w:r>
          </w:p>
        </w:tc>
        <w:tc>
          <w:tcPr>
            <w:tcW w:w="842" w:type="dxa"/>
            <w:noWrap w:val="0"/>
            <w:vAlign w:val="center"/>
          </w:tcPr>
          <w:p w14:paraId="7EEDC77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＞25°</w:t>
            </w:r>
          </w:p>
        </w:tc>
        <w:tc>
          <w:tcPr>
            <w:tcW w:w="575" w:type="dxa"/>
            <w:noWrap w:val="0"/>
            <w:vAlign w:val="center"/>
          </w:tcPr>
          <w:p w14:paraId="61D3068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0D67245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27F6906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3FAF4F3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0" w:type="dxa"/>
            <w:noWrap w:val="0"/>
            <w:vAlign w:val="center"/>
          </w:tcPr>
          <w:p w14:paraId="0712BDB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41C4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0" w:type="dxa"/>
            <w:vMerge w:val="continue"/>
            <w:noWrap w:val="0"/>
            <w:vAlign w:val="center"/>
          </w:tcPr>
          <w:p w14:paraId="0990EDDE">
            <w:pPr>
              <w:snapToGrid w:val="0"/>
              <w:jc w:val="center"/>
              <w:rPr>
                <w:rFonts w:ascii="Times New Roman" w:hAnsi="Times New Roman" w:eastAsia="方正仿宋_GBK" w:cs="Tahoma"/>
                <w:color w:val="auto"/>
                <w:sz w:val="18"/>
                <w:szCs w:val="18"/>
              </w:rPr>
            </w:pPr>
          </w:p>
        </w:tc>
        <w:tc>
          <w:tcPr>
            <w:tcW w:w="1478" w:type="dxa"/>
            <w:gridSpan w:val="2"/>
            <w:noWrap w:val="0"/>
            <w:vAlign w:val="center"/>
          </w:tcPr>
          <w:p w14:paraId="1ECABC5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地质灾害</w:t>
            </w:r>
          </w:p>
        </w:tc>
        <w:tc>
          <w:tcPr>
            <w:tcW w:w="832" w:type="dxa"/>
            <w:noWrap w:val="0"/>
            <w:vAlign w:val="center"/>
          </w:tcPr>
          <w:p w14:paraId="0FC8950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831" w:type="dxa"/>
            <w:noWrap w:val="0"/>
            <w:vAlign w:val="center"/>
          </w:tcPr>
          <w:p w14:paraId="055F9E9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不易发区</w:t>
            </w:r>
          </w:p>
        </w:tc>
        <w:tc>
          <w:tcPr>
            <w:tcW w:w="832" w:type="dxa"/>
            <w:noWrap w:val="0"/>
            <w:vAlign w:val="center"/>
          </w:tcPr>
          <w:p w14:paraId="0FD037A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低易发区</w:t>
            </w:r>
          </w:p>
        </w:tc>
        <w:tc>
          <w:tcPr>
            <w:tcW w:w="832" w:type="dxa"/>
            <w:noWrap w:val="0"/>
            <w:vAlign w:val="center"/>
          </w:tcPr>
          <w:p w14:paraId="615195C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中易发区</w:t>
            </w:r>
          </w:p>
        </w:tc>
        <w:tc>
          <w:tcPr>
            <w:tcW w:w="842" w:type="dxa"/>
            <w:noWrap w:val="0"/>
            <w:vAlign w:val="center"/>
          </w:tcPr>
          <w:p w14:paraId="3A695C3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高易发区</w:t>
            </w:r>
          </w:p>
        </w:tc>
        <w:tc>
          <w:tcPr>
            <w:tcW w:w="575" w:type="dxa"/>
            <w:noWrap w:val="0"/>
            <w:vAlign w:val="center"/>
          </w:tcPr>
          <w:p w14:paraId="3142926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56849F1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7C0D23F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8" w:type="dxa"/>
            <w:noWrap w:val="0"/>
            <w:vAlign w:val="center"/>
          </w:tcPr>
          <w:p w14:paraId="22DBC03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0" w:type="dxa"/>
            <w:noWrap w:val="0"/>
            <w:vAlign w:val="center"/>
          </w:tcPr>
          <w:p w14:paraId="1B67B8C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212B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27" w:type="dxa"/>
            <w:gridSpan w:val="8"/>
            <w:noWrap w:val="0"/>
            <w:vAlign w:val="center"/>
          </w:tcPr>
          <w:p w14:paraId="3934C6C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合计</w:t>
            </w:r>
          </w:p>
        </w:tc>
        <w:tc>
          <w:tcPr>
            <w:tcW w:w="575" w:type="dxa"/>
            <w:noWrap w:val="0"/>
            <w:vAlign w:val="center"/>
          </w:tcPr>
          <w:p w14:paraId="7CFAD1C0">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21</w:t>
            </w:r>
            <w:r>
              <w:rPr>
                <w:rFonts w:ascii="Times New Roman" w:hAnsi="Times New Roman" w:eastAsia="方正仿宋_GBK" w:cs="Tahoma"/>
                <w:color w:val="auto"/>
                <w:sz w:val="18"/>
                <w:szCs w:val="18"/>
              </w:rPr>
              <w:fldChar w:fldCharType="end"/>
            </w:r>
          </w:p>
        </w:tc>
        <w:tc>
          <w:tcPr>
            <w:tcW w:w="601" w:type="dxa"/>
            <w:noWrap w:val="0"/>
            <w:vAlign w:val="center"/>
          </w:tcPr>
          <w:p w14:paraId="0DF5E294">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10.5</w:t>
            </w:r>
            <w:r>
              <w:rPr>
                <w:rFonts w:ascii="Times New Roman" w:hAnsi="Times New Roman" w:eastAsia="方正仿宋_GBK" w:cs="Tahoma"/>
                <w:color w:val="auto"/>
                <w:sz w:val="18"/>
                <w:szCs w:val="18"/>
              </w:rPr>
              <w:fldChar w:fldCharType="end"/>
            </w:r>
          </w:p>
        </w:tc>
        <w:tc>
          <w:tcPr>
            <w:tcW w:w="599" w:type="dxa"/>
            <w:noWrap w:val="0"/>
            <w:vAlign w:val="center"/>
          </w:tcPr>
          <w:p w14:paraId="59C8F522">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w:instrText>
            </w:r>
            <w:r>
              <w:rPr>
                <w:rFonts w:hint="eastAsia" w:ascii="Times New Roman" w:hAnsi="Times New Roman" w:eastAsia="方正仿宋_GBK" w:cs="Tahoma"/>
                <w:color w:val="auto"/>
                <w:sz w:val="18"/>
                <w:szCs w:val="18"/>
              </w:rPr>
              <w:instrText xml:space="preserve">=SUM(ABOVE)</w:instrText>
            </w:r>
            <w:r>
              <w:rPr>
                <w:rFonts w:ascii="Times New Roman" w:hAnsi="Times New Roman" w:eastAsia="方正仿宋_GBK" w:cs="Tahoma"/>
                <w:color w:val="auto"/>
                <w:sz w:val="18"/>
                <w:szCs w:val="18"/>
              </w:rPr>
              <w:instrText xml:space="preser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0.0</w:t>
            </w:r>
            <w:r>
              <w:rPr>
                <w:rFonts w:ascii="Times New Roman" w:hAnsi="Times New Roman" w:eastAsia="方正仿宋_GBK" w:cs="Tahoma"/>
                <w:color w:val="auto"/>
                <w:sz w:val="18"/>
                <w:szCs w:val="18"/>
              </w:rPr>
              <w:fldChar w:fldCharType="end"/>
            </w:r>
          </w:p>
        </w:tc>
        <w:tc>
          <w:tcPr>
            <w:tcW w:w="598" w:type="dxa"/>
            <w:noWrap w:val="0"/>
            <w:vAlign w:val="center"/>
          </w:tcPr>
          <w:p w14:paraId="205286DA">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-10.5</w:t>
            </w:r>
            <w:r>
              <w:rPr>
                <w:rFonts w:ascii="Times New Roman" w:hAnsi="Times New Roman" w:eastAsia="方正仿宋_GBK" w:cs="Tahoma"/>
                <w:color w:val="auto"/>
                <w:sz w:val="18"/>
                <w:szCs w:val="18"/>
              </w:rPr>
              <w:fldChar w:fldCharType="end"/>
            </w:r>
          </w:p>
        </w:tc>
        <w:tc>
          <w:tcPr>
            <w:tcW w:w="600" w:type="dxa"/>
            <w:noWrap w:val="0"/>
            <w:vAlign w:val="center"/>
          </w:tcPr>
          <w:p w14:paraId="7BC2ABD0">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-21</w:t>
            </w:r>
            <w:r>
              <w:rPr>
                <w:rFonts w:ascii="Times New Roman" w:hAnsi="Times New Roman" w:eastAsia="方正仿宋_GBK" w:cs="Tahoma"/>
                <w:color w:val="auto"/>
                <w:sz w:val="18"/>
                <w:szCs w:val="18"/>
              </w:rPr>
              <w:fldChar w:fldCharType="end"/>
            </w:r>
          </w:p>
        </w:tc>
      </w:tr>
    </w:tbl>
    <w:p w14:paraId="6920C8D3">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right="0" w:rightChars="0"/>
        <w:jc w:val="center"/>
        <w:textAlignment w:val="auto"/>
        <w:outlineLvl w:val="9"/>
        <w:rPr>
          <w:rFonts w:hint="eastAsia" w:ascii="方正小标宋_GBK" w:hAnsi="方正小标宋_GBK" w:eastAsia="方正小标宋_GBK" w:cs="方正小标宋_GBK"/>
          <w:sz w:val="30"/>
          <w:szCs w:val="30"/>
          <w:lang w:eastAsia="zh-CN"/>
        </w:rPr>
      </w:pPr>
    </w:p>
    <w:p w14:paraId="4E54EA8B">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right="0" w:rightChars="0"/>
        <w:jc w:val="center"/>
        <w:textAlignment w:val="auto"/>
        <w:outlineLvl w:val="9"/>
        <w:rPr>
          <w:rFonts w:hint="eastAsia" w:ascii="方正小标宋_GBK" w:hAnsi="方正小标宋_GBK" w:eastAsia="方正小标宋_GBK" w:cs="方正小标宋_GBK"/>
          <w:sz w:val="30"/>
          <w:szCs w:val="30"/>
          <w:lang w:eastAsia="zh-CN"/>
        </w:rPr>
      </w:pPr>
      <w:r>
        <w:rPr>
          <w:rFonts w:hint="eastAsia" w:ascii="方正小标宋_GBK" w:hAnsi="方正小标宋_GBK" w:eastAsia="方正小标宋_GBK" w:cs="方正小标宋_GBK"/>
          <w:sz w:val="30"/>
          <w:szCs w:val="30"/>
          <w:lang w:eastAsia="zh-CN"/>
        </w:rPr>
        <w:t>长寿区工矿仓储用地基准地价修正因素指标说明及修正系数表</w:t>
      </w:r>
    </w:p>
    <w:p w14:paraId="11B3D0B5">
      <w:pPr>
        <w:pStyle w:val="2"/>
        <w:keepNext w:val="0"/>
        <w:keepLines w:val="0"/>
        <w:pageBreakBefore w:val="0"/>
        <w:widowControl w:val="0"/>
        <w:kinsoku/>
        <w:wordWrap/>
        <w:overflowPunct/>
        <w:topLinePunct w:val="0"/>
        <w:bidi w:val="0"/>
        <w:adjustRightInd w:val="0"/>
        <w:spacing w:line="600" w:lineRule="exact"/>
        <w:textAlignment w:val="auto"/>
        <w:rPr>
          <w:rFonts w:hint="eastAsia"/>
          <w:lang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1"/>
        <w:gridCol w:w="487"/>
        <w:gridCol w:w="824"/>
        <w:gridCol w:w="673"/>
        <w:gridCol w:w="765"/>
        <w:gridCol w:w="858"/>
        <w:gridCol w:w="857"/>
        <w:gridCol w:w="866"/>
        <w:gridCol w:w="563"/>
        <w:gridCol w:w="605"/>
        <w:gridCol w:w="607"/>
        <w:gridCol w:w="606"/>
        <w:gridCol w:w="608"/>
      </w:tblGrid>
      <w:tr w14:paraId="6D34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892" w:type="dxa"/>
            <w:gridSpan w:val="3"/>
            <w:vMerge w:val="restart"/>
            <w:noWrap w:val="0"/>
            <w:vAlign w:val="center"/>
          </w:tcPr>
          <w:p w14:paraId="169DF24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宗地修正因素</w:t>
            </w:r>
          </w:p>
        </w:tc>
        <w:tc>
          <w:tcPr>
            <w:tcW w:w="4019" w:type="dxa"/>
            <w:gridSpan w:val="5"/>
            <w:noWrap w:val="0"/>
            <w:vAlign w:val="center"/>
          </w:tcPr>
          <w:p w14:paraId="0745AAB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指标说明</w:t>
            </w:r>
          </w:p>
        </w:tc>
        <w:tc>
          <w:tcPr>
            <w:tcW w:w="2989" w:type="dxa"/>
            <w:gridSpan w:val="5"/>
            <w:noWrap w:val="0"/>
            <w:vAlign w:val="center"/>
          </w:tcPr>
          <w:p w14:paraId="7BE56A6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修正系数</w:t>
            </w:r>
          </w:p>
        </w:tc>
      </w:tr>
      <w:tr w14:paraId="6A9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892" w:type="dxa"/>
            <w:gridSpan w:val="3"/>
            <w:vMerge w:val="continue"/>
            <w:noWrap w:val="0"/>
            <w:vAlign w:val="center"/>
          </w:tcPr>
          <w:p w14:paraId="1E769055">
            <w:pPr>
              <w:snapToGrid w:val="0"/>
              <w:jc w:val="center"/>
              <w:rPr>
                <w:rFonts w:ascii="Times New Roman" w:hAnsi="Times New Roman" w:eastAsia="方正仿宋_GBK" w:cs="Tahoma"/>
                <w:color w:val="auto"/>
                <w:sz w:val="18"/>
                <w:szCs w:val="18"/>
              </w:rPr>
            </w:pPr>
          </w:p>
        </w:tc>
        <w:tc>
          <w:tcPr>
            <w:tcW w:w="673" w:type="dxa"/>
            <w:noWrap w:val="0"/>
            <w:vAlign w:val="center"/>
          </w:tcPr>
          <w:p w14:paraId="7B3D43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765" w:type="dxa"/>
            <w:noWrap w:val="0"/>
            <w:vAlign w:val="center"/>
          </w:tcPr>
          <w:p w14:paraId="2940BBE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858" w:type="dxa"/>
            <w:noWrap w:val="0"/>
            <w:vAlign w:val="center"/>
          </w:tcPr>
          <w:p w14:paraId="3361F71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57" w:type="dxa"/>
            <w:noWrap w:val="0"/>
            <w:vAlign w:val="center"/>
          </w:tcPr>
          <w:p w14:paraId="69D1E05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866" w:type="dxa"/>
            <w:noWrap w:val="0"/>
            <w:vAlign w:val="center"/>
          </w:tcPr>
          <w:p w14:paraId="7FC685E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c>
          <w:tcPr>
            <w:tcW w:w="563" w:type="dxa"/>
            <w:noWrap w:val="0"/>
            <w:vAlign w:val="center"/>
          </w:tcPr>
          <w:p w14:paraId="5BED6C7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605" w:type="dxa"/>
            <w:noWrap w:val="0"/>
            <w:vAlign w:val="center"/>
          </w:tcPr>
          <w:p w14:paraId="5C206E8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607" w:type="dxa"/>
            <w:noWrap w:val="0"/>
            <w:vAlign w:val="center"/>
          </w:tcPr>
          <w:p w14:paraId="3C97880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606" w:type="dxa"/>
            <w:noWrap w:val="0"/>
            <w:vAlign w:val="center"/>
          </w:tcPr>
          <w:p w14:paraId="3F76763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608" w:type="dxa"/>
            <w:noWrap w:val="0"/>
            <w:vAlign w:val="center"/>
          </w:tcPr>
          <w:p w14:paraId="1626D21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r>
      <w:tr w14:paraId="5328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3" w:hRule="atLeast"/>
          <w:jc w:val="center"/>
        </w:trPr>
        <w:tc>
          <w:tcPr>
            <w:tcW w:w="581" w:type="dxa"/>
            <w:vMerge w:val="restart"/>
            <w:noWrap w:val="0"/>
            <w:vAlign w:val="center"/>
          </w:tcPr>
          <w:p w14:paraId="744D7F4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区域因素</w:t>
            </w:r>
          </w:p>
        </w:tc>
        <w:tc>
          <w:tcPr>
            <w:tcW w:w="487" w:type="dxa"/>
            <w:vMerge w:val="restart"/>
            <w:noWrap w:val="0"/>
            <w:vAlign w:val="center"/>
          </w:tcPr>
          <w:p w14:paraId="1229C77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交通条件</w:t>
            </w:r>
          </w:p>
        </w:tc>
        <w:tc>
          <w:tcPr>
            <w:tcW w:w="824" w:type="dxa"/>
            <w:noWrap w:val="0"/>
            <w:vAlign w:val="center"/>
          </w:tcPr>
          <w:p w14:paraId="6451A4B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道路通达度</w:t>
            </w:r>
          </w:p>
        </w:tc>
        <w:tc>
          <w:tcPr>
            <w:tcW w:w="673" w:type="dxa"/>
            <w:noWrap w:val="0"/>
            <w:vAlign w:val="center"/>
          </w:tcPr>
          <w:p w14:paraId="6C2E063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主干道通过，路网密集</w:t>
            </w:r>
          </w:p>
        </w:tc>
        <w:tc>
          <w:tcPr>
            <w:tcW w:w="765" w:type="dxa"/>
            <w:noWrap w:val="0"/>
            <w:vAlign w:val="center"/>
          </w:tcPr>
          <w:p w14:paraId="525A641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主干道通过，路网稀疏</w:t>
            </w:r>
          </w:p>
        </w:tc>
        <w:tc>
          <w:tcPr>
            <w:tcW w:w="858" w:type="dxa"/>
            <w:noWrap w:val="0"/>
            <w:vAlign w:val="center"/>
          </w:tcPr>
          <w:p w14:paraId="0FE2FDD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次干道通过，路网较密集</w:t>
            </w:r>
          </w:p>
        </w:tc>
        <w:tc>
          <w:tcPr>
            <w:tcW w:w="857" w:type="dxa"/>
            <w:noWrap w:val="0"/>
            <w:vAlign w:val="center"/>
          </w:tcPr>
          <w:p w14:paraId="1B3125E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次干道通过，路网稀疏</w:t>
            </w:r>
          </w:p>
        </w:tc>
        <w:tc>
          <w:tcPr>
            <w:tcW w:w="866" w:type="dxa"/>
            <w:noWrap w:val="0"/>
            <w:vAlign w:val="center"/>
          </w:tcPr>
          <w:p w14:paraId="6AB0171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支路通过</w:t>
            </w:r>
          </w:p>
        </w:tc>
        <w:tc>
          <w:tcPr>
            <w:tcW w:w="563" w:type="dxa"/>
            <w:noWrap w:val="0"/>
            <w:vAlign w:val="center"/>
          </w:tcPr>
          <w:p w14:paraId="53A0D0A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1ACD218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4E2997A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5743FCF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37EE51C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74EF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581" w:type="dxa"/>
            <w:vMerge w:val="continue"/>
            <w:noWrap w:val="0"/>
            <w:vAlign w:val="center"/>
          </w:tcPr>
          <w:p w14:paraId="098A5746">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3CA20CD1">
            <w:pPr>
              <w:snapToGrid w:val="0"/>
              <w:jc w:val="center"/>
              <w:rPr>
                <w:rFonts w:ascii="Times New Roman" w:hAnsi="Times New Roman" w:eastAsia="方正仿宋_GBK" w:cs="Tahoma"/>
                <w:color w:val="auto"/>
                <w:sz w:val="18"/>
                <w:szCs w:val="18"/>
              </w:rPr>
            </w:pPr>
          </w:p>
        </w:tc>
        <w:tc>
          <w:tcPr>
            <w:tcW w:w="824" w:type="dxa"/>
            <w:noWrap w:val="0"/>
            <w:vAlign w:val="center"/>
          </w:tcPr>
          <w:p w14:paraId="50E2BC1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道路级别(宽度)</w:t>
            </w:r>
          </w:p>
        </w:tc>
        <w:tc>
          <w:tcPr>
            <w:tcW w:w="673" w:type="dxa"/>
            <w:noWrap w:val="0"/>
            <w:vAlign w:val="center"/>
          </w:tcPr>
          <w:p w14:paraId="5BC31F3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＞20米</w:t>
            </w:r>
          </w:p>
        </w:tc>
        <w:tc>
          <w:tcPr>
            <w:tcW w:w="765" w:type="dxa"/>
            <w:noWrap w:val="0"/>
            <w:vAlign w:val="center"/>
          </w:tcPr>
          <w:p w14:paraId="4C97EFA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15-20米</w:t>
            </w:r>
          </w:p>
        </w:tc>
        <w:tc>
          <w:tcPr>
            <w:tcW w:w="858" w:type="dxa"/>
            <w:noWrap w:val="0"/>
            <w:vAlign w:val="center"/>
          </w:tcPr>
          <w:p w14:paraId="52BEC60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10-15米</w:t>
            </w:r>
          </w:p>
        </w:tc>
        <w:tc>
          <w:tcPr>
            <w:tcW w:w="857" w:type="dxa"/>
            <w:noWrap w:val="0"/>
            <w:vAlign w:val="center"/>
          </w:tcPr>
          <w:p w14:paraId="00A3268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5-10米</w:t>
            </w:r>
          </w:p>
        </w:tc>
        <w:tc>
          <w:tcPr>
            <w:tcW w:w="866" w:type="dxa"/>
            <w:noWrap w:val="0"/>
            <w:vAlign w:val="center"/>
          </w:tcPr>
          <w:p w14:paraId="7612C50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&lt;5米</w:t>
            </w:r>
          </w:p>
        </w:tc>
        <w:tc>
          <w:tcPr>
            <w:tcW w:w="563" w:type="dxa"/>
            <w:noWrap w:val="0"/>
            <w:vAlign w:val="center"/>
          </w:tcPr>
          <w:p w14:paraId="5C66CCF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5" w:type="dxa"/>
            <w:noWrap w:val="0"/>
            <w:vAlign w:val="center"/>
          </w:tcPr>
          <w:p w14:paraId="4C13DEE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7" w:type="dxa"/>
            <w:noWrap w:val="0"/>
            <w:vAlign w:val="center"/>
          </w:tcPr>
          <w:p w14:paraId="1E1F1FA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6E627B6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8" w:type="dxa"/>
            <w:noWrap w:val="0"/>
            <w:vAlign w:val="center"/>
          </w:tcPr>
          <w:p w14:paraId="7018F5B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1776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581" w:type="dxa"/>
            <w:vMerge w:val="continue"/>
            <w:noWrap w:val="0"/>
            <w:vAlign w:val="center"/>
          </w:tcPr>
          <w:p w14:paraId="20B7FF12">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101044C4">
            <w:pPr>
              <w:snapToGrid w:val="0"/>
              <w:jc w:val="center"/>
              <w:rPr>
                <w:rFonts w:ascii="Times New Roman" w:hAnsi="Times New Roman" w:eastAsia="方正仿宋_GBK" w:cs="Tahoma"/>
                <w:color w:val="auto"/>
                <w:sz w:val="18"/>
                <w:szCs w:val="18"/>
              </w:rPr>
            </w:pPr>
          </w:p>
        </w:tc>
        <w:tc>
          <w:tcPr>
            <w:tcW w:w="824" w:type="dxa"/>
            <w:noWrap w:val="0"/>
            <w:vAlign w:val="center"/>
          </w:tcPr>
          <w:p w14:paraId="2E166F7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距火车货运站的距离</w:t>
            </w:r>
          </w:p>
        </w:tc>
        <w:tc>
          <w:tcPr>
            <w:tcW w:w="673" w:type="dxa"/>
            <w:noWrap w:val="0"/>
            <w:vAlign w:val="center"/>
          </w:tcPr>
          <w:p w14:paraId="1480656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有铁路专线</w:t>
            </w:r>
          </w:p>
        </w:tc>
        <w:tc>
          <w:tcPr>
            <w:tcW w:w="765" w:type="dxa"/>
            <w:noWrap w:val="0"/>
            <w:vAlign w:val="center"/>
          </w:tcPr>
          <w:p w14:paraId="0F6B5D3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&lt;10公里</w:t>
            </w:r>
          </w:p>
        </w:tc>
        <w:tc>
          <w:tcPr>
            <w:tcW w:w="858" w:type="dxa"/>
            <w:noWrap w:val="0"/>
            <w:vAlign w:val="center"/>
          </w:tcPr>
          <w:p w14:paraId="0F9EA18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10-20公里</w:t>
            </w:r>
          </w:p>
        </w:tc>
        <w:tc>
          <w:tcPr>
            <w:tcW w:w="857" w:type="dxa"/>
            <w:noWrap w:val="0"/>
            <w:vAlign w:val="center"/>
          </w:tcPr>
          <w:p w14:paraId="5B7E069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20-40公里</w:t>
            </w:r>
          </w:p>
        </w:tc>
        <w:tc>
          <w:tcPr>
            <w:tcW w:w="866" w:type="dxa"/>
            <w:noWrap w:val="0"/>
            <w:vAlign w:val="center"/>
          </w:tcPr>
          <w:p w14:paraId="4D78798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&gt;40公里</w:t>
            </w:r>
          </w:p>
        </w:tc>
        <w:tc>
          <w:tcPr>
            <w:tcW w:w="563" w:type="dxa"/>
            <w:noWrap w:val="0"/>
            <w:vAlign w:val="center"/>
          </w:tcPr>
          <w:p w14:paraId="6E6CDB1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5" w:type="dxa"/>
            <w:noWrap w:val="0"/>
            <w:vAlign w:val="center"/>
          </w:tcPr>
          <w:p w14:paraId="5DC16E4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7" w:type="dxa"/>
            <w:noWrap w:val="0"/>
            <w:vAlign w:val="center"/>
          </w:tcPr>
          <w:p w14:paraId="228CDB4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620C31B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8" w:type="dxa"/>
            <w:noWrap w:val="0"/>
            <w:vAlign w:val="center"/>
          </w:tcPr>
          <w:p w14:paraId="1048F41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0C6F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164D230D">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5086CDA6">
            <w:pPr>
              <w:snapToGrid w:val="0"/>
              <w:jc w:val="center"/>
              <w:rPr>
                <w:rFonts w:ascii="Times New Roman" w:hAnsi="Times New Roman" w:eastAsia="方正仿宋_GBK" w:cs="Tahoma"/>
                <w:color w:val="auto"/>
                <w:sz w:val="18"/>
                <w:szCs w:val="18"/>
              </w:rPr>
            </w:pPr>
          </w:p>
        </w:tc>
        <w:tc>
          <w:tcPr>
            <w:tcW w:w="824" w:type="dxa"/>
            <w:noWrap w:val="0"/>
            <w:vAlign w:val="center"/>
          </w:tcPr>
          <w:p w14:paraId="4509635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距公路货运站距离</w:t>
            </w:r>
          </w:p>
        </w:tc>
        <w:tc>
          <w:tcPr>
            <w:tcW w:w="673" w:type="dxa"/>
            <w:noWrap w:val="0"/>
            <w:vAlign w:val="center"/>
          </w:tcPr>
          <w:p w14:paraId="44C5DEF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＜2公里</w:t>
            </w:r>
          </w:p>
        </w:tc>
        <w:tc>
          <w:tcPr>
            <w:tcW w:w="765" w:type="dxa"/>
            <w:noWrap w:val="0"/>
            <w:vAlign w:val="center"/>
          </w:tcPr>
          <w:p w14:paraId="7769936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2-5公里</w:t>
            </w:r>
          </w:p>
        </w:tc>
        <w:tc>
          <w:tcPr>
            <w:tcW w:w="858" w:type="dxa"/>
            <w:noWrap w:val="0"/>
            <w:vAlign w:val="center"/>
          </w:tcPr>
          <w:p w14:paraId="2F9A3E9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5-10公里</w:t>
            </w:r>
          </w:p>
        </w:tc>
        <w:tc>
          <w:tcPr>
            <w:tcW w:w="857" w:type="dxa"/>
            <w:noWrap w:val="0"/>
            <w:vAlign w:val="center"/>
          </w:tcPr>
          <w:p w14:paraId="6B3FFEC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10-20公里</w:t>
            </w:r>
          </w:p>
        </w:tc>
        <w:tc>
          <w:tcPr>
            <w:tcW w:w="866" w:type="dxa"/>
            <w:noWrap w:val="0"/>
            <w:vAlign w:val="center"/>
          </w:tcPr>
          <w:p w14:paraId="6C2F62B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＞20公里</w:t>
            </w:r>
          </w:p>
        </w:tc>
        <w:tc>
          <w:tcPr>
            <w:tcW w:w="563" w:type="dxa"/>
            <w:noWrap w:val="0"/>
            <w:vAlign w:val="center"/>
          </w:tcPr>
          <w:p w14:paraId="1CF22F6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5" w:type="dxa"/>
            <w:noWrap w:val="0"/>
            <w:vAlign w:val="center"/>
          </w:tcPr>
          <w:p w14:paraId="3D41EAA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7" w:type="dxa"/>
            <w:noWrap w:val="0"/>
            <w:vAlign w:val="center"/>
          </w:tcPr>
          <w:p w14:paraId="4B751DF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628871A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8" w:type="dxa"/>
            <w:noWrap w:val="0"/>
            <w:vAlign w:val="center"/>
          </w:tcPr>
          <w:p w14:paraId="700DC48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2FBD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468C13D8">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66778438">
            <w:pPr>
              <w:snapToGrid w:val="0"/>
              <w:jc w:val="center"/>
              <w:rPr>
                <w:rFonts w:ascii="Times New Roman" w:hAnsi="Times New Roman" w:eastAsia="方正仿宋_GBK" w:cs="Tahoma"/>
                <w:color w:val="auto"/>
                <w:sz w:val="18"/>
                <w:szCs w:val="18"/>
              </w:rPr>
            </w:pPr>
          </w:p>
        </w:tc>
        <w:tc>
          <w:tcPr>
            <w:tcW w:w="824" w:type="dxa"/>
            <w:noWrap w:val="0"/>
            <w:vAlign w:val="center"/>
          </w:tcPr>
          <w:p w14:paraId="46E7713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距高速公路出口距离</w:t>
            </w:r>
          </w:p>
        </w:tc>
        <w:tc>
          <w:tcPr>
            <w:tcW w:w="673" w:type="dxa"/>
            <w:noWrap w:val="0"/>
            <w:vAlign w:val="center"/>
          </w:tcPr>
          <w:p w14:paraId="1ABDF3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765" w:type="dxa"/>
            <w:noWrap w:val="0"/>
            <w:vAlign w:val="center"/>
          </w:tcPr>
          <w:p w14:paraId="3092E92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58" w:type="dxa"/>
            <w:noWrap w:val="0"/>
            <w:vAlign w:val="center"/>
          </w:tcPr>
          <w:p w14:paraId="3E16FF9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57" w:type="dxa"/>
            <w:noWrap w:val="0"/>
            <w:vAlign w:val="center"/>
          </w:tcPr>
          <w:p w14:paraId="33552A6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2000-3500米</w:t>
            </w:r>
          </w:p>
        </w:tc>
        <w:tc>
          <w:tcPr>
            <w:tcW w:w="866" w:type="dxa"/>
            <w:noWrap w:val="0"/>
            <w:vAlign w:val="center"/>
          </w:tcPr>
          <w:p w14:paraId="551F626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＞3500米</w:t>
            </w:r>
          </w:p>
        </w:tc>
        <w:tc>
          <w:tcPr>
            <w:tcW w:w="563" w:type="dxa"/>
            <w:noWrap w:val="0"/>
            <w:vAlign w:val="center"/>
          </w:tcPr>
          <w:p w14:paraId="36CFBCE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5" w:type="dxa"/>
            <w:noWrap w:val="0"/>
            <w:vAlign w:val="center"/>
          </w:tcPr>
          <w:p w14:paraId="209921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7" w:type="dxa"/>
            <w:noWrap w:val="0"/>
            <w:vAlign w:val="center"/>
          </w:tcPr>
          <w:p w14:paraId="56CFA33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549C313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8" w:type="dxa"/>
            <w:noWrap w:val="0"/>
            <w:vAlign w:val="center"/>
          </w:tcPr>
          <w:p w14:paraId="41C0020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3618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11BBA66D">
            <w:pPr>
              <w:snapToGrid w:val="0"/>
              <w:jc w:val="center"/>
              <w:rPr>
                <w:rFonts w:ascii="Times New Roman" w:hAnsi="Times New Roman" w:eastAsia="方正仿宋_GBK" w:cs="Tahoma"/>
                <w:color w:val="auto"/>
                <w:sz w:val="18"/>
                <w:szCs w:val="18"/>
              </w:rPr>
            </w:pPr>
          </w:p>
        </w:tc>
        <w:tc>
          <w:tcPr>
            <w:tcW w:w="487" w:type="dxa"/>
            <w:vMerge w:val="restart"/>
            <w:noWrap w:val="0"/>
            <w:vAlign w:val="center"/>
          </w:tcPr>
          <w:p w14:paraId="30704CD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基础设施条件</w:t>
            </w:r>
          </w:p>
        </w:tc>
        <w:tc>
          <w:tcPr>
            <w:tcW w:w="824" w:type="dxa"/>
            <w:noWrap w:val="0"/>
            <w:vAlign w:val="center"/>
          </w:tcPr>
          <w:p w14:paraId="6023863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动力能源保证度(%)</w:t>
            </w:r>
          </w:p>
        </w:tc>
        <w:tc>
          <w:tcPr>
            <w:tcW w:w="673" w:type="dxa"/>
            <w:noWrap w:val="0"/>
            <w:vAlign w:val="center"/>
          </w:tcPr>
          <w:p w14:paraId="12800A1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&gt;98</w:t>
            </w:r>
          </w:p>
        </w:tc>
        <w:tc>
          <w:tcPr>
            <w:tcW w:w="765" w:type="dxa"/>
            <w:noWrap w:val="0"/>
            <w:vAlign w:val="center"/>
          </w:tcPr>
          <w:p w14:paraId="31CF35C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58" w:type="dxa"/>
            <w:noWrap w:val="0"/>
            <w:vAlign w:val="center"/>
          </w:tcPr>
          <w:p w14:paraId="41E116A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57" w:type="dxa"/>
            <w:noWrap w:val="0"/>
            <w:vAlign w:val="center"/>
          </w:tcPr>
          <w:p w14:paraId="43117CA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866" w:type="dxa"/>
            <w:noWrap w:val="0"/>
            <w:vAlign w:val="center"/>
          </w:tcPr>
          <w:p w14:paraId="605EB87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85以下</w:t>
            </w:r>
          </w:p>
        </w:tc>
        <w:tc>
          <w:tcPr>
            <w:tcW w:w="563" w:type="dxa"/>
            <w:noWrap w:val="0"/>
            <w:vAlign w:val="center"/>
          </w:tcPr>
          <w:p w14:paraId="7F4CCD6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69B400A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6773234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3B5BD4F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3FAD9BC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6307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581" w:type="dxa"/>
            <w:vMerge w:val="continue"/>
            <w:noWrap w:val="0"/>
            <w:vAlign w:val="center"/>
          </w:tcPr>
          <w:p w14:paraId="594AB459">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6ABB2C35">
            <w:pPr>
              <w:snapToGrid w:val="0"/>
              <w:jc w:val="center"/>
              <w:rPr>
                <w:rFonts w:ascii="Times New Roman" w:hAnsi="Times New Roman" w:eastAsia="方正仿宋_GBK" w:cs="Tahoma"/>
                <w:color w:val="auto"/>
                <w:sz w:val="18"/>
                <w:szCs w:val="18"/>
              </w:rPr>
            </w:pPr>
          </w:p>
        </w:tc>
        <w:tc>
          <w:tcPr>
            <w:tcW w:w="824" w:type="dxa"/>
            <w:noWrap w:val="0"/>
            <w:vAlign w:val="center"/>
          </w:tcPr>
          <w:p w14:paraId="373CAE3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供水保证度（%）</w:t>
            </w:r>
          </w:p>
        </w:tc>
        <w:tc>
          <w:tcPr>
            <w:tcW w:w="673" w:type="dxa"/>
            <w:noWrap w:val="0"/>
            <w:vAlign w:val="center"/>
          </w:tcPr>
          <w:p w14:paraId="209476E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&gt;98</w:t>
            </w:r>
          </w:p>
        </w:tc>
        <w:tc>
          <w:tcPr>
            <w:tcW w:w="765" w:type="dxa"/>
            <w:noWrap w:val="0"/>
            <w:vAlign w:val="center"/>
          </w:tcPr>
          <w:p w14:paraId="29107DD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58" w:type="dxa"/>
            <w:noWrap w:val="0"/>
            <w:vAlign w:val="center"/>
          </w:tcPr>
          <w:p w14:paraId="4A43A6F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57" w:type="dxa"/>
            <w:noWrap w:val="0"/>
            <w:vAlign w:val="center"/>
          </w:tcPr>
          <w:p w14:paraId="75696BF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866" w:type="dxa"/>
            <w:noWrap w:val="0"/>
            <w:vAlign w:val="center"/>
          </w:tcPr>
          <w:p w14:paraId="6C16B92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85以下</w:t>
            </w:r>
          </w:p>
        </w:tc>
        <w:tc>
          <w:tcPr>
            <w:tcW w:w="563" w:type="dxa"/>
            <w:noWrap w:val="0"/>
            <w:vAlign w:val="center"/>
          </w:tcPr>
          <w:p w14:paraId="6D54D15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3638024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4FA17D2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48A2DD3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62785C2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5320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3" w:hRule="atLeast"/>
          <w:jc w:val="center"/>
        </w:trPr>
        <w:tc>
          <w:tcPr>
            <w:tcW w:w="581" w:type="dxa"/>
            <w:vMerge w:val="continue"/>
            <w:noWrap w:val="0"/>
            <w:vAlign w:val="center"/>
          </w:tcPr>
          <w:p w14:paraId="62C0F947">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4D6C620D">
            <w:pPr>
              <w:snapToGrid w:val="0"/>
              <w:jc w:val="center"/>
              <w:rPr>
                <w:rFonts w:ascii="Times New Roman" w:hAnsi="Times New Roman" w:eastAsia="方正仿宋_GBK" w:cs="Tahoma"/>
                <w:color w:val="auto"/>
                <w:sz w:val="18"/>
                <w:szCs w:val="18"/>
              </w:rPr>
            </w:pPr>
          </w:p>
        </w:tc>
        <w:tc>
          <w:tcPr>
            <w:tcW w:w="824" w:type="dxa"/>
            <w:noWrap w:val="0"/>
            <w:vAlign w:val="center"/>
          </w:tcPr>
          <w:p w14:paraId="7069654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排水设施完善度</w:t>
            </w:r>
          </w:p>
        </w:tc>
        <w:tc>
          <w:tcPr>
            <w:tcW w:w="673" w:type="dxa"/>
            <w:noWrap w:val="0"/>
            <w:vAlign w:val="center"/>
          </w:tcPr>
          <w:p w14:paraId="501804C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排水畅通、常年不漫水</w:t>
            </w:r>
          </w:p>
        </w:tc>
        <w:tc>
          <w:tcPr>
            <w:tcW w:w="765" w:type="dxa"/>
            <w:noWrap w:val="0"/>
            <w:vAlign w:val="center"/>
          </w:tcPr>
          <w:p w14:paraId="4449F14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畅通、年内2-3次漫水</w:t>
            </w:r>
          </w:p>
        </w:tc>
        <w:tc>
          <w:tcPr>
            <w:tcW w:w="858" w:type="dxa"/>
            <w:noWrap w:val="0"/>
            <w:vAlign w:val="center"/>
          </w:tcPr>
          <w:p w14:paraId="4B6854C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偶尔阻塞、年内2-3次漫水</w:t>
            </w:r>
          </w:p>
        </w:tc>
        <w:tc>
          <w:tcPr>
            <w:tcW w:w="857" w:type="dxa"/>
            <w:noWrap w:val="0"/>
            <w:vAlign w:val="center"/>
          </w:tcPr>
          <w:p w14:paraId="21A8F33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偶尔阻塞、年内5-9次漫水</w:t>
            </w:r>
          </w:p>
        </w:tc>
        <w:tc>
          <w:tcPr>
            <w:tcW w:w="866" w:type="dxa"/>
            <w:noWrap w:val="0"/>
            <w:vAlign w:val="center"/>
          </w:tcPr>
          <w:p w14:paraId="7FC66FC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常阻塞、常漫水</w:t>
            </w:r>
          </w:p>
        </w:tc>
        <w:tc>
          <w:tcPr>
            <w:tcW w:w="563" w:type="dxa"/>
            <w:noWrap w:val="0"/>
            <w:vAlign w:val="center"/>
          </w:tcPr>
          <w:p w14:paraId="3DD9010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514838A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403AEC9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3C33E66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743F08D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73D6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 w:hRule="atLeast"/>
          <w:jc w:val="center"/>
        </w:trPr>
        <w:tc>
          <w:tcPr>
            <w:tcW w:w="581" w:type="dxa"/>
            <w:vMerge w:val="continue"/>
            <w:noWrap w:val="0"/>
            <w:vAlign w:val="center"/>
          </w:tcPr>
          <w:p w14:paraId="71041C71">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469458BE">
            <w:pPr>
              <w:snapToGrid w:val="0"/>
              <w:jc w:val="center"/>
              <w:rPr>
                <w:rFonts w:ascii="Times New Roman" w:hAnsi="Times New Roman" w:eastAsia="方正仿宋_GBK" w:cs="Tahoma"/>
                <w:color w:val="auto"/>
                <w:sz w:val="18"/>
                <w:szCs w:val="18"/>
              </w:rPr>
            </w:pPr>
          </w:p>
        </w:tc>
        <w:tc>
          <w:tcPr>
            <w:tcW w:w="824" w:type="dxa"/>
            <w:noWrap w:val="0"/>
            <w:vAlign w:val="center"/>
          </w:tcPr>
          <w:p w14:paraId="2B20E0D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通讯保证度（%）</w:t>
            </w:r>
          </w:p>
        </w:tc>
        <w:tc>
          <w:tcPr>
            <w:tcW w:w="673" w:type="dxa"/>
            <w:noWrap w:val="0"/>
            <w:vAlign w:val="center"/>
          </w:tcPr>
          <w:p w14:paraId="57241C5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&gt;98</w:t>
            </w:r>
          </w:p>
        </w:tc>
        <w:tc>
          <w:tcPr>
            <w:tcW w:w="765" w:type="dxa"/>
            <w:noWrap w:val="0"/>
            <w:vAlign w:val="center"/>
          </w:tcPr>
          <w:p w14:paraId="4ECA119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95-98</w:t>
            </w:r>
          </w:p>
        </w:tc>
        <w:tc>
          <w:tcPr>
            <w:tcW w:w="858" w:type="dxa"/>
            <w:noWrap w:val="0"/>
            <w:vAlign w:val="center"/>
          </w:tcPr>
          <w:p w14:paraId="3802EA1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90-95</w:t>
            </w:r>
          </w:p>
        </w:tc>
        <w:tc>
          <w:tcPr>
            <w:tcW w:w="857" w:type="dxa"/>
            <w:noWrap w:val="0"/>
            <w:vAlign w:val="center"/>
          </w:tcPr>
          <w:p w14:paraId="2E3D6A7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85-90</w:t>
            </w:r>
          </w:p>
        </w:tc>
        <w:tc>
          <w:tcPr>
            <w:tcW w:w="866" w:type="dxa"/>
            <w:noWrap w:val="0"/>
            <w:vAlign w:val="center"/>
          </w:tcPr>
          <w:p w14:paraId="5E7466F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85以下</w:t>
            </w:r>
          </w:p>
        </w:tc>
        <w:tc>
          <w:tcPr>
            <w:tcW w:w="563" w:type="dxa"/>
            <w:noWrap w:val="0"/>
            <w:vAlign w:val="center"/>
          </w:tcPr>
          <w:p w14:paraId="21C3E8D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653CDBF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5170D1D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62143DA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6158B43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05E9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581" w:type="dxa"/>
            <w:vMerge w:val="continue"/>
            <w:noWrap w:val="0"/>
            <w:vAlign w:val="center"/>
          </w:tcPr>
          <w:p w14:paraId="683A9372">
            <w:pPr>
              <w:snapToGrid w:val="0"/>
              <w:jc w:val="center"/>
              <w:rPr>
                <w:rFonts w:ascii="Times New Roman" w:hAnsi="Times New Roman" w:eastAsia="方正仿宋_GBK" w:cs="Tahoma"/>
                <w:color w:val="auto"/>
                <w:sz w:val="18"/>
                <w:szCs w:val="18"/>
              </w:rPr>
            </w:pPr>
          </w:p>
        </w:tc>
        <w:tc>
          <w:tcPr>
            <w:tcW w:w="487" w:type="dxa"/>
            <w:vMerge w:val="restart"/>
            <w:noWrap w:val="0"/>
            <w:vAlign w:val="center"/>
          </w:tcPr>
          <w:p w14:paraId="2D22E24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产业集聚度</w:t>
            </w:r>
          </w:p>
        </w:tc>
        <w:tc>
          <w:tcPr>
            <w:tcW w:w="824" w:type="dxa"/>
            <w:noWrap w:val="0"/>
            <w:vAlign w:val="center"/>
          </w:tcPr>
          <w:p w14:paraId="3FF50C3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产业集聚类型</w:t>
            </w:r>
          </w:p>
        </w:tc>
        <w:tc>
          <w:tcPr>
            <w:tcW w:w="673" w:type="dxa"/>
            <w:noWrap w:val="0"/>
            <w:vAlign w:val="center"/>
          </w:tcPr>
          <w:p w14:paraId="2B09CE3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工业集聚区，产业联系紧密</w:t>
            </w:r>
          </w:p>
        </w:tc>
        <w:tc>
          <w:tcPr>
            <w:tcW w:w="765" w:type="dxa"/>
            <w:noWrap w:val="0"/>
            <w:vAlign w:val="center"/>
          </w:tcPr>
          <w:p w14:paraId="08582A0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工业集聚区，产业联系较紧密</w:t>
            </w:r>
          </w:p>
        </w:tc>
        <w:tc>
          <w:tcPr>
            <w:tcW w:w="858" w:type="dxa"/>
            <w:noWrap w:val="0"/>
            <w:vAlign w:val="center"/>
          </w:tcPr>
          <w:p w14:paraId="6DE0A3D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工业集聚区，产业有一定联系</w:t>
            </w:r>
          </w:p>
        </w:tc>
        <w:tc>
          <w:tcPr>
            <w:tcW w:w="857" w:type="dxa"/>
            <w:noWrap w:val="0"/>
            <w:vAlign w:val="center"/>
          </w:tcPr>
          <w:p w14:paraId="46472BF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工业集聚区，产业无联系</w:t>
            </w:r>
          </w:p>
        </w:tc>
        <w:tc>
          <w:tcPr>
            <w:tcW w:w="866" w:type="dxa"/>
            <w:noWrap w:val="0"/>
            <w:vAlign w:val="center"/>
          </w:tcPr>
          <w:p w14:paraId="0B7B1FC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独立工业点</w:t>
            </w:r>
          </w:p>
        </w:tc>
        <w:tc>
          <w:tcPr>
            <w:tcW w:w="563" w:type="dxa"/>
            <w:noWrap w:val="0"/>
            <w:vAlign w:val="center"/>
          </w:tcPr>
          <w:p w14:paraId="091F2CB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2.5</w:t>
            </w:r>
          </w:p>
        </w:tc>
        <w:tc>
          <w:tcPr>
            <w:tcW w:w="605" w:type="dxa"/>
            <w:noWrap w:val="0"/>
            <w:vAlign w:val="center"/>
          </w:tcPr>
          <w:p w14:paraId="52B3128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1.3</w:t>
            </w:r>
          </w:p>
        </w:tc>
        <w:tc>
          <w:tcPr>
            <w:tcW w:w="607" w:type="dxa"/>
            <w:noWrap w:val="0"/>
            <w:vAlign w:val="center"/>
          </w:tcPr>
          <w:p w14:paraId="5FA7387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313F83B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-1.3</w:t>
            </w:r>
          </w:p>
        </w:tc>
        <w:tc>
          <w:tcPr>
            <w:tcW w:w="608" w:type="dxa"/>
            <w:noWrap w:val="0"/>
            <w:vAlign w:val="center"/>
          </w:tcPr>
          <w:p w14:paraId="1BDA2C5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-2.5</w:t>
            </w:r>
          </w:p>
        </w:tc>
      </w:tr>
      <w:tr w14:paraId="5BE8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0" w:hRule="atLeast"/>
          <w:jc w:val="center"/>
        </w:trPr>
        <w:tc>
          <w:tcPr>
            <w:tcW w:w="581" w:type="dxa"/>
            <w:vMerge w:val="continue"/>
            <w:noWrap w:val="0"/>
            <w:vAlign w:val="center"/>
          </w:tcPr>
          <w:p w14:paraId="0CE70880">
            <w:pPr>
              <w:snapToGrid w:val="0"/>
              <w:jc w:val="center"/>
              <w:rPr>
                <w:rFonts w:ascii="Times New Roman" w:hAnsi="Times New Roman" w:eastAsia="方正仿宋_GBK" w:cs="Tahoma"/>
                <w:color w:val="auto"/>
                <w:sz w:val="18"/>
                <w:szCs w:val="18"/>
              </w:rPr>
            </w:pPr>
          </w:p>
        </w:tc>
        <w:tc>
          <w:tcPr>
            <w:tcW w:w="487" w:type="dxa"/>
            <w:vMerge w:val="continue"/>
            <w:noWrap w:val="0"/>
            <w:vAlign w:val="center"/>
          </w:tcPr>
          <w:p w14:paraId="59EC970B">
            <w:pPr>
              <w:snapToGrid w:val="0"/>
              <w:jc w:val="center"/>
              <w:rPr>
                <w:rFonts w:ascii="Times New Roman" w:hAnsi="Times New Roman" w:eastAsia="方正仿宋_GBK" w:cs="Tahoma"/>
                <w:color w:val="auto"/>
                <w:sz w:val="18"/>
                <w:szCs w:val="18"/>
              </w:rPr>
            </w:pPr>
          </w:p>
        </w:tc>
        <w:tc>
          <w:tcPr>
            <w:tcW w:w="824" w:type="dxa"/>
            <w:noWrap w:val="0"/>
            <w:vAlign w:val="center"/>
          </w:tcPr>
          <w:p w14:paraId="1D15CD3F">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企业规模（m</w:t>
            </w:r>
            <w:r>
              <w:rPr>
                <w:rFonts w:hint="eastAsia" w:ascii="Times New Roman" w:hAnsi="Times New Roman" w:eastAsia="方正仿宋_GBK" w:cs="Tahoma"/>
                <w:color w:val="auto"/>
                <w:sz w:val="18"/>
                <w:szCs w:val="18"/>
                <w:vertAlign w:val="superscript"/>
              </w:rPr>
              <w:t>2</w:t>
            </w:r>
            <w:r>
              <w:rPr>
                <w:rFonts w:hint="eastAsia" w:ascii="Times New Roman" w:hAnsi="Times New Roman" w:eastAsia="方正仿宋_GBK" w:cs="Tahoma"/>
                <w:color w:val="auto"/>
                <w:sz w:val="18"/>
                <w:szCs w:val="18"/>
              </w:rPr>
              <w:t>）</w:t>
            </w:r>
          </w:p>
        </w:tc>
        <w:tc>
          <w:tcPr>
            <w:tcW w:w="673" w:type="dxa"/>
            <w:noWrap w:val="0"/>
            <w:vAlign w:val="center"/>
          </w:tcPr>
          <w:p w14:paraId="0A18C3C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＞10万</w:t>
            </w:r>
          </w:p>
        </w:tc>
        <w:tc>
          <w:tcPr>
            <w:tcW w:w="765" w:type="dxa"/>
            <w:noWrap w:val="0"/>
            <w:vAlign w:val="center"/>
          </w:tcPr>
          <w:p w14:paraId="6E25DC1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3万-10万</w:t>
            </w:r>
          </w:p>
        </w:tc>
        <w:tc>
          <w:tcPr>
            <w:tcW w:w="858" w:type="dxa"/>
            <w:noWrap w:val="0"/>
            <w:vAlign w:val="center"/>
          </w:tcPr>
          <w:p w14:paraId="08E47A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8千-3万</w:t>
            </w:r>
          </w:p>
        </w:tc>
        <w:tc>
          <w:tcPr>
            <w:tcW w:w="857" w:type="dxa"/>
            <w:noWrap w:val="0"/>
            <w:vAlign w:val="center"/>
          </w:tcPr>
          <w:p w14:paraId="2130E34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3千-8千</w:t>
            </w:r>
          </w:p>
        </w:tc>
        <w:tc>
          <w:tcPr>
            <w:tcW w:w="866" w:type="dxa"/>
            <w:noWrap w:val="0"/>
            <w:vAlign w:val="center"/>
          </w:tcPr>
          <w:p w14:paraId="524D85F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＜3千m2</w:t>
            </w:r>
          </w:p>
        </w:tc>
        <w:tc>
          <w:tcPr>
            <w:tcW w:w="563" w:type="dxa"/>
            <w:noWrap w:val="0"/>
            <w:vAlign w:val="center"/>
          </w:tcPr>
          <w:p w14:paraId="4208F0E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2A01FB3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5E7D9D5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7928E6D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5F5A541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130F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19FF51B1">
            <w:pPr>
              <w:snapToGrid w:val="0"/>
              <w:jc w:val="center"/>
              <w:rPr>
                <w:rFonts w:ascii="Times New Roman" w:hAnsi="Times New Roman" w:eastAsia="方正仿宋_GBK" w:cs="Tahoma"/>
                <w:color w:val="auto"/>
                <w:sz w:val="18"/>
                <w:szCs w:val="18"/>
              </w:rPr>
            </w:pPr>
          </w:p>
        </w:tc>
        <w:tc>
          <w:tcPr>
            <w:tcW w:w="487" w:type="dxa"/>
            <w:noWrap w:val="0"/>
            <w:vAlign w:val="center"/>
          </w:tcPr>
          <w:p w14:paraId="4C18748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环境条件</w:t>
            </w:r>
          </w:p>
        </w:tc>
        <w:tc>
          <w:tcPr>
            <w:tcW w:w="824" w:type="dxa"/>
            <w:noWrap w:val="0"/>
            <w:vAlign w:val="center"/>
          </w:tcPr>
          <w:p w14:paraId="3960B65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污染状况</w:t>
            </w:r>
          </w:p>
        </w:tc>
        <w:tc>
          <w:tcPr>
            <w:tcW w:w="673" w:type="dxa"/>
            <w:noWrap w:val="0"/>
            <w:vAlign w:val="center"/>
          </w:tcPr>
          <w:p w14:paraId="56C0B8B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765" w:type="dxa"/>
            <w:noWrap w:val="0"/>
            <w:vAlign w:val="center"/>
          </w:tcPr>
          <w:p w14:paraId="22C2306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轻微</w:t>
            </w:r>
          </w:p>
        </w:tc>
        <w:tc>
          <w:tcPr>
            <w:tcW w:w="858" w:type="dxa"/>
            <w:noWrap w:val="0"/>
            <w:vAlign w:val="center"/>
          </w:tcPr>
          <w:p w14:paraId="52A1E1F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57" w:type="dxa"/>
            <w:noWrap w:val="0"/>
            <w:vAlign w:val="center"/>
          </w:tcPr>
          <w:p w14:paraId="3BAD18D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较重</w:t>
            </w:r>
          </w:p>
        </w:tc>
        <w:tc>
          <w:tcPr>
            <w:tcW w:w="866" w:type="dxa"/>
            <w:noWrap w:val="0"/>
            <w:vAlign w:val="center"/>
          </w:tcPr>
          <w:p w14:paraId="5A0109F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严重</w:t>
            </w:r>
          </w:p>
        </w:tc>
        <w:tc>
          <w:tcPr>
            <w:tcW w:w="563" w:type="dxa"/>
            <w:noWrap w:val="0"/>
            <w:vAlign w:val="center"/>
          </w:tcPr>
          <w:p w14:paraId="757985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5" w:type="dxa"/>
            <w:noWrap w:val="0"/>
            <w:vAlign w:val="center"/>
          </w:tcPr>
          <w:p w14:paraId="41E011E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7" w:type="dxa"/>
            <w:noWrap w:val="0"/>
            <w:vAlign w:val="center"/>
          </w:tcPr>
          <w:p w14:paraId="1745BD0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635FC7B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608" w:type="dxa"/>
            <w:noWrap w:val="0"/>
            <w:vAlign w:val="center"/>
          </w:tcPr>
          <w:p w14:paraId="3D010A6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54027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8" w:hRule="atLeast"/>
          <w:jc w:val="center"/>
        </w:trPr>
        <w:tc>
          <w:tcPr>
            <w:tcW w:w="581" w:type="dxa"/>
            <w:vMerge w:val="continue"/>
            <w:noWrap w:val="0"/>
            <w:vAlign w:val="center"/>
          </w:tcPr>
          <w:p w14:paraId="0269C689">
            <w:pPr>
              <w:snapToGrid w:val="0"/>
              <w:jc w:val="center"/>
              <w:rPr>
                <w:rFonts w:ascii="Times New Roman" w:hAnsi="Times New Roman" w:eastAsia="方正仿宋_GBK" w:cs="Tahoma"/>
                <w:color w:val="auto"/>
                <w:sz w:val="18"/>
                <w:szCs w:val="18"/>
              </w:rPr>
            </w:pPr>
          </w:p>
        </w:tc>
        <w:tc>
          <w:tcPr>
            <w:tcW w:w="1311" w:type="dxa"/>
            <w:gridSpan w:val="2"/>
            <w:noWrap w:val="0"/>
            <w:vAlign w:val="center"/>
          </w:tcPr>
          <w:p w14:paraId="6FE5A0B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城市规划</w:t>
            </w:r>
          </w:p>
        </w:tc>
        <w:tc>
          <w:tcPr>
            <w:tcW w:w="673" w:type="dxa"/>
            <w:noWrap w:val="0"/>
            <w:vAlign w:val="center"/>
          </w:tcPr>
          <w:p w14:paraId="3C834CC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有利</w:t>
            </w:r>
          </w:p>
        </w:tc>
        <w:tc>
          <w:tcPr>
            <w:tcW w:w="765" w:type="dxa"/>
            <w:noWrap w:val="0"/>
            <w:vAlign w:val="center"/>
          </w:tcPr>
          <w:p w14:paraId="6F91F3B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较有利</w:t>
            </w:r>
          </w:p>
        </w:tc>
        <w:tc>
          <w:tcPr>
            <w:tcW w:w="858" w:type="dxa"/>
            <w:noWrap w:val="0"/>
            <w:vAlign w:val="center"/>
          </w:tcPr>
          <w:p w14:paraId="4B8F3C4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无影响</w:t>
            </w:r>
          </w:p>
        </w:tc>
        <w:tc>
          <w:tcPr>
            <w:tcW w:w="857" w:type="dxa"/>
            <w:noWrap w:val="0"/>
            <w:vAlign w:val="center"/>
          </w:tcPr>
          <w:p w14:paraId="494F281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较不利</w:t>
            </w:r>
          </w:p>
        </w:tc>
        <w:tc>
          <w:tcPr>
            <w:tcW w:w="866" w:type="dxa"/>
            <w:noWrap w:val="0"/>
            <w:vAlign w:val="center"/>
          </w:tcPr>
          <w:p w14:paraId="58A0332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不利</w:t>
            </w:r>
          </w:p>
        </w:tc>
        <w:tc>
          <w:tcPr>
            <w:tcW w:w="563" w:type="dxa"/>
            <w:noWrap w:val="0"/>
            <w:vAlign w:val="center"/>
          </w:tcPr>
          <w:p w14:paraId="6A8CE5F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5" w:type="dxa"/>
            <w:noWrap w:val="0"/>
            <w:vAlign w:val="center"/>
          </w:tcPr>
          <w:p w14:paraId="1DA8A46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7" w:type="dxa"/>
            <w:noWrap w:val="0"/>
            <w:vAlign w:val="center"/>
          </w:tcPr>
          <w:p w14:paraId="65C285E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08FA2E9A">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8" w:type="dxa"/>
            <w:noWrap w:val="0"/>
            <w:vAlign w:val="center"/>
          </w:tcPr>
          <w:p w14:paraId="35C06A1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3C3D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restart"/>
            <w:noWrap w:val="0"/>
            <w:vAlign w:val="center"/>
          </w:tcPr>
          <w:p w14:paraId="350F460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个别因素</w:t>
            </w:r>
          </w:p>
        </w:tc>
        <w:tc>
          <w:tcPr>
            <w:tcW w:w="1311" w:type="dxa"/>
            <w:gridSpan w:val="2"/>
            <w:noWrap w:val="0"/>
            <w:vAlign w:val="center"/>
          </w:tcPr>
          <w:p w14:paraId="2D5B393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宗地形状、面积</w:t>
            </w:r>
          </w:p>
        </w:tc>
        <w:tc>
          <w:tcPr>
            <w:tcW w:w="673" w:type="dxa"/>
            <w:noWrap w:val="0"/>
            <w:vAlign w:val="center"/>
          </w:tcPr>
          <w:p w14:paraId="2E916A2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适宜布局</w:t>
            </w:r>
          </w:p>
        </w:tc>
        <w:tc>
          <w:tcPr>
            <w:tcW w:w="765" w:type="dxa"/>
            <w:noWrap w:val="0"/>
            <w:vAlign w:val="center"/>
          </w:tcPr>
          <w:p w14:paraId="202E864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基本适宜布局</w:t>
            </w:r>
          </w:p>
        </w:tc>
        <w:tc>
          <w:tcPr>
            <w:tcW w:w="858" w:type="dxa"/>
            <w:noWrap w:val="0"/>
            <w:vAlign w:val="center"/>
          </w:tcPr>
          <w:p w14:paraId="3BA4BEC1">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对布局无影响</w:t>
            </w:r>
          </w:p>
        </w:tc>
        <w:tc>
          <w:tcPr>
            <w:tcW w:w="857" w:type="dxa"/>
            <w:noWrap w:val="0"/>
            <w:vAlign w:val="center"/>
          </w:tcPr>
          <w:p w14:paraId="25BD30E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对布局有一定影响</w:t>
            </w:r>
          </w:p>
        </w:tc>
        <w:tc>
          <w:tcPr>
            <w:tcW w:w="866" w:type="dxa"/>
            <w:noWrap w:val="0"/>
            <w:vAlign w:val="center"/>
          </w:tcPr>
          <w:p w14:paraId="2CEC4E7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严重影响布局</w:t>
            </w:r>
          </w:p>
        </w:tc>
        <w:tc>
          <w:tcPr>
            <w:tcW w:w="563" w:type="dxa"/>
            <w:noWrap w:val="0"/>
            <w:vAlign w:val="center"/>
          </w:tcPr>
          <w:p w14:paraId="651A074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6323961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59AFBD5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40E16A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132D9785">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3518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40538675">
            <w:pPr>
              <w:snapToGrid w:val="0"/>
              <w:jc w:val="center"/>
              <w:rPr>
                <w:rFonts w:ascii="Times New Roman" w:hAnsi="Times New Roman" w:eastAsia="方正仿宋_GBK" w:cs="Tahoma"/>
                <w:color w:val="auto"/>
                <w:sz w:val="18"/>
                <w:szCs w:val="18"/>
              </w:rPr>
            </w:pPr>
          </w:p>
        </w:tc>
        <w:tc>
          <w:tcPr>
            <w:tcW w:w="1311" w:type="dxa"/>
            <w:gridSpan w:val="2"/>
            <w:noWrap w:val="0"/>
            <w:vAlign w:val="center"/>
          </w:tcPr>
          <w:p w14:paraId="766D68B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宗地坡度</w:t>
            </w:r>
          </w:p>
        </w:tc>
        <w:tc>
          <w:tcPr>
            <w:tcW w:w="673" w:type="dxa"/>
            <w:noWrap w:val="0"/>
            <w:vAlign w:val="center"/>
          </w:tcPr>
          <w:p w14:paraId="183AE4B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w:t>
            </w:r>
          </w:p>
        </w:tc>
        <w:tc>
          <w:tcPr>
            <w:tcW w:w="765" w:type="dxa"/>
            <w:noWrap w:val="0"/>
            <w:vAlign w:val="center"/>
          </w:tcPr>
          <w:p w14:paraId="3AD0E15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5°-10°</w:t>
            </w:r>
          </w:p>
        </w:tc>
        <w:tc>
          <w:tcPr>
            <w:tcW w:w="858" w:type="dxa"/>
            <w:noWrap w:val="0"/>
            <w:vAlign w:val="center"/>
          </w:tcPr>
          <w:p w14:paraId="2452865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10°-15°</w:t>
            </w:r>
          </w:p>
        </w:tc>
        <w:tc>
          <w:tcPr>
            <w:tcW w:w="857" w:type="dxa"/>
            <w:noWrap w:val="0"/>
            <w:vAlign w:val="center"/>
          </w:tcPr>
          <w:p w14:paraId="34A9CA6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15°-25°</w:t>
            </w:r>
          </w:p>
        </w:tc>
        <w:tc>
          <w:tcPr>
            <w:tcW w:w="866" w:type="dxa"/>
            <w:noWrap w:val="0"/>
            <w:vAlign w:val="center"/>
          </w:tcPr>
          <w:p w14:paraId="47C2DB1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&gt;25°</w:t>
            </w:r>
          </w:p>
        </w:tc>
        <w:tc>
          <w:tcPr>
            <w:tcW w:w="563" w:type="dxa"/>
            <w:noWrap w:val="0"/>
            <w:vAlign w:val="center"/>
          </w:tcPr>
          <w:p w14:paraId="314C176B">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4E48319D">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18DC663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1529B373">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1E86416E">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2934B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81" w:type="dxa"/>
            <w:vMerge w:val="continue"/>
            <w:noWrap w:val="0"/>
            <w:vAlign w:val="center"/>
          </w:tcPr>
          <w:p w14:paraId="59187A3F">
            <w:pPr>
              <w:snapToGrid w:val="0"/>
              <w:jc w:val="center"/>
              <w:rPr>
                <w:rFonts w:ascii="Times New Roman" w:hAnsi="Times New Roman" w:eastAsia="方正仿宋_GBK" w:cs="Tahoma"/>
                <w:color w:val="auto"/>
                <w:sz w:val="18"/>
                <w:szCs w:val="18"/>
              </w:rPr>
            </w:pPr>
          </w:p>
        </w:tc>
        <w:tc>
          <w:tcPr>
            <w:tcW w:w="1311" w:type="dxa"/>
            <w:gridSpan w:val="2"/>
            <w:noWrap w:val="0"/>
            <w:vAlign w:val="center"/>
          </w:tcPr>
          <w:p w14:paraId="153A5620">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地质条件</w:t>
            </w:r>
          </w:p>
        </w:tc>
        <w:tc>
          <w:tcPr>
            <w:tcW w:w="673" w:type="dxa"/>
            <w:noWrap w:val="0"/>
            <w:vAlign w:val="center"/>
          </w:tcPr>
          <w:p w14:paraId="7C4C531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765" w:type="dxa"/>
            <w:noWrap w:val="0"/>
            <w:vAlign w:val="center"/>
          </w:tcPr>
          <w:p w14:paraId="60234C0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不易发区</w:t>
            </w:r>
          </w:p>
        </w:tc>
        <w:tc>
          <w:tcPr>
            <w:tcW w:w="858" w:type="dxa"/>
            <w:noWrap w:val="0"/>
            <w:vAlign w:val="center"/>
          </w:tcPr>
          <w:p w14:paraId="51DB058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低易发区</w:t>
            </w:r>
          </w:p>
        </w:tc>
        <w:tc>
          <w:tcPr>
            <w:tcW w:w="857" w:type="dxa"/>
            <w:noWrap w:val="0"/>
            <w:vAlign w:val="center"/>
          </w:tcPr>
          <w:p w14:paraId="650FA07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中易发区</w:t>
            </w:r>
          </w:p>
        </w:tc>
        <w:tc>
          <w:tcPr>
            <w:tcW w:w="866" w:type="dxa"/>
            <w:noWrap w:val="0"/>
            <w:vAlign w:val="center"/>
          </w:tcPr>
          <w:p w14:paraId="39B4DE38">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高易发区、极易发区</w:t>
            </w:r>
          </w:p>
        </w:tc>
        <w:tc>
          <w:tcPr>
            <w:tcW w:w="563" w:type="dxa"/>
            <w:noWrap w:val="0"/>
            <w:vAlign w:val="center"/>
          </w:tcPr>
          <w:p w14:paraId="6096AB37">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5" w:type="dxa"/>
            <w:noWrap w:val="0"/>
            <w:vAlign w:val="center"/>
          </w:tcPr>
          <w:p w14:paraId="0E35ADE9">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7" w:type="dxa"/>
            <w:noWrap w:val="0"/>
            <w:vAlign w:val="center"/>
          </w:tcPr>
          <w:p w14:paraId="38DB4DB6">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606" w:type="dxa"/>
            <w:noWrap w:val="0"/>
            <w:vAlign w:val="center"/>
          </w:tcPr>
          <w:p w14:paraId="280FC64C">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8" w:type="dxa"/>
            <w:noWrap w:val="0"/>
            <w:vAlign w:val="center"/>
          </w:tcPr>
          <w:p w14:paraId="487C2382">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3EDA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11" w:type="dxa"/>
            <w:gridSpan w:val="8"/>
            <w:noWrap w:val="0"/>
            <w:vAlign w:val="center"/>
          </w:tcPr>
          <w:p w14:paraId="085FEF74">
            <w:pPr>
              <w:snapToGrid w:val="0"/>
              <w:jc w:val="center"/>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合计</w:t>
            </w:r>
          </w:p>
        </w:tc>
        <w:tc>
          <w:tcPr>
            <w:tcW w:w="563" w:type="dxa"/>
            <w:noWrap w:val="0"/>
            <w:vAlign w:val="center"/>
          </w:tcPr>
          <w:p w14:paraId="7E6E5CDF">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21</w:t>
            </w:r>
            <w:r>
              <w:rPr>
                <w:rFonts w:ascii="Times New Roman" w:hAnsi="Times New Roman" w:eastAsia="方正仿宋_GBK" w:cs="Tahoma"/>
                <w:color w:val="auto"/>
                <w:sz w:val="18"/>
                <w:szCs w:val="18"/>
              </w:rPr>
              <w:fldChar w:fldCharType="end"/>
            </w:r>
          </w:p>
        </w:tc>
        <w:tc>
          <w:tcPr>
            <w:tcW w:w="605" w:type="dxa"/>
            <w:noWrap w:val="0"/>
            <w:vAlign w:val="center"/>
          </w:tcPr>
          <w:p w14:paraId="58F0A7B2">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10.8</w:t>
            </w:r>
            <w:r>
              <w:rPr>
                <w:rFonts w:ascii="Times New Roman" w:hAnsi="Times New Roman" w:eastAsia="方正仿宋_GBK" w:cs="Tahoma"/>
                <w:color w:val="auto"/>
                <w:sz w:val="18"/>
                <w:szCs w:val="18"/>
              </w:rPr>
              <w:fldChar w:fldCharType="end"/>
            </w:r>
          </w:p>
        </w:tc>
        <w:tc>
          <w:tcPr>
            <w:tcW w:w="607" w:type="dxa"/>
            <w:noWrap w:val="0"/>
            <w:vAlign w:val="center"/>
          </w:tcPr>
          <w:p w14:paraId="4E6D39E7">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w:instrText>
            </w:r>
            <w:r>
              <w:rPr>
                <w:rFonts w:hint="eastAsia" w:ascii="Times New Roman" w:hAnsi="Times New Roman" w:eastAsia="方正仿宋_GBK" w:cs="Tahoma"/>
                <w:color w:val="auto"/>
                <w:sz w:val="18"/>
                <w:szCs w:val="18"/>
              </w:rPr>
              <w:instrText xml:space="preserve">=SUM(ABOVE)</w:instrText>
            </w:r>
            <w:r>
              <w:rPr>
                <w:rFonts w:ascii="Times New Roman" w:hAnsi="Times New Roman" w:eastAsia="方正仿宋_GBK" w:cs="Tahoma"/>
                <w:color w:val="auto"/>
                <w:sz w:val="18"/>
                <w:szCs w:val="18"/>
              </w:rPr>
              <w:instrText xml:space="preser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0.0</w:t>
            </w:r>
            <w:r>
              <w:rPr>
                <w:rFonts w:ascii="Times New Roman" w:hAnsi="Times New Roman" w:eastAsia="方正仿宋_GBK" w:cs="Tahoma"/>
                <w:color w:val="auto"/>
                <w:sz w:val="18"/>
                <w:szCs w:val="18"/>
              </w:rPr>
              <w:fldChar w:fldCharType="end"/>
            </w:r>
          </w:p>
        </w:tc>
        <w:tc>
          <w:tcPr>
            <w:tcW w:w="606" w:type="dxa"/>
            <w:noWrap w:val="0"/>
            <w:vAlign w:val="center"/>
          </w:tcPr>
          <w:p w14:paraId="1515824B">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-10.8</w:t>
            </w:r>
            <w:r>
              <w:rPr>
                <w:rFonts w:ascii="Times New Roman" w:hAnsi="Times New Roman" w:eastAsia="方正仿宋_GBK" w:cs="Tahoma"/>
                <w:color w:val="auto"/>
                <w:sz w:val="18"/>
                <w:szCs w:val="18"/>
              </w:rPr>
              <w:fldChar w:fldCharType="end"/>
            </w:r>
          </w:p>
        </w:tc>
        <w:tc>
          <w:tcPr>
            <w:tcW w:w="608" w:type="dxa"/>
            <w:noWrap w:val="0"/>
            <w:vAlign w:val="center"/>
          </w:tcPr>
          <w:p w14:paraId="2396B4FC">
            <w:pPr>
              <w:snapToGrid w:val="0"/>
              <w:jc w:val="center"/>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-21</w:t>
            </w:r>
            <w:r>
              <w:rPr>
                <w:rFonts w:ascii="Times New Roman" w:hAnsi="Times New Roman" w:eastAsia="方正仿宋_GBK" w:cs="Tahoma"/>
                <w:color w:val="auto"/>
                <w:sz w:val="18"/>
                <w:szCs w:val="18"/>
              </w:rPr>
              <w:fldChar w:fldCharType="end"/>
            </w:r>
          </w:p>
        </w:tc>
      </w:tr>
    </w:tbl>
    <w:p w14:paraId="6BA38DB2">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both"/>
        <w:textAlignment w:val="auto"/>
        <w:outlineLvl w:val="9"/>
        <w:rPr>
          <w:rFonts w:hint="eastAsia" w:ascii="方正小标宋_GBK" w:hAnsi="方正小标宋_GBK" w:eastAsia="方正小标宋_GBK" w:cs="方正小标宋_GBK"/>
          <w:sz w:val="30"/>
          <w:szCs w:val="30"/>
          <w:lang w:eastAsia="zh-CN"/>
        </w:rPr>
      </w:pPr>
    </w:p>
    <w:p w14:paraId="718CF155">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30"/>
          <w:szCs w:val="30"/>
          <w:lang w:eastAsia="zh-CN"/>
        </w:rPr>
      </w:pPr>
      <w:r>
        <w:rPr>
          <w:rFonts w:hint="eastAsia" w:ascii="方正小标宋_GBK" w:hAnsi="方正小标宋_GBK" w:eastAsia="方正小标宋_GBK" w:cs="方正小标宋_GBK"/>
          <w:sz w:val="30"/>
          <w:szCs w:val="30"/>
          <w:lang w:eastAsia="zh-CN"/>
        </w:rPr>
        <w:t>长寿区公共管理与公共服务用地基准地价修正因素指标说明及</w:t>
      </w:r>
    </w:p>
    <w:p w14:paraId="1778FF73">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sz w:val="30"/>
          <w:szCs w:val="30"/>
          <w:lang w:eastAsia="zh-CN"/>
        </w:rPr>
      </w:pPr>
      <w:r>
        <w:rPr>
          <w:rFonts w:hint="eastAsia" w:ascii="方正小标宋_GBK" w:hAnsi="方正小标宋_GBK" w:eastAsia="方正小标宋_GBK" w:cs="方正小标宋_GBK"/>
          <w:sz w:val="30"/>
          <w:szCs w:val="30"/>
          <w:lang w:eastAsia="zh-CN"/>
        </w:rPr>
        <w:t>修正系数表</w:t>
      </w:r>
    </w:p>
    <w:p w14:paraId="1516DE7A">
      <w:pPr>
        <w:pStyle w:val="2"/>
        <w:keepNext w:val="0"/>
        <w:keepLines w:val="0"/>
        <w:pageBreakBefore w:val="0"/>
        <w:widowControl w:val="0"/>
        <w:kinsoku/>
        <w:wordWrap/>
        <w:overflowPunct/>
        <w:topLinePunct w:val="0"/>
        <w:bidi w:val="0"/>
        <w:adjustRightInd w:val="0"/>
        <w:spacing w:line="600" w:lineRule="exact"/>
        <w:textAlignment w:val="auto"/>
        <w:rPr>
          <w:rFonts w:hint="eastAsia"/>
          <w:lang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4"/>
        <w:gridCol w:w="393"/>
        <w:gridCol w:w="1088"/>
        <w:gridCol w:w="832"/>
        <w:gridCol w:w="831"/>
        <w:gridCol w:w="832"/>
        <w:gridCol w:w="832"/>
        <w:gridCol w:w="840"/>
        <w:gridCol w:w="576"/>
        <w:gridCol w:w="601"/>
        <w:gridCol w:w="599"/>
        <w:gridCol w:w="599"/>
        <w:gridCol w:w="593"/>
      </w:tblGrid>
      <w:tr w14:paraId="7102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5" w:type="dxa"/>
            <w:gridSpan w:val="3"/>
            <w:vMerge w:val="restart"/>
            <w:noWrap w:val="0"/>
            <w:vAlign w:val="center"/>
          </w:tcPr>
          <w:p w14:paraId="2F68BFC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宗地修正因素</w:t>
            </w:r>
          </w:p>
        </w:tc>
        <w:tc>
          <w:tcPr>
            <w:tcW w:w="4167" w:type="dxa"/>
            <w:gridSpan w:val="5"/>
            <w:noWrap w:val="0"/>
            <w:vAlign w:val="center"/>
          </w:tcPr>
          <w:p w14:paraId="5A5EB2B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指标说明</w:t>
            </w:r>
          </w:p>
        </w:tc>
        <w:tc>
          <w:tcPr>
            <w:tcW w:w="2968" w:type="dxa"/>
            <w:gridSpan w:val="5"/>
            <w:noWrap w:val="0"/>
            <w:vAlign w:val="center"/>
          </w:tcPr>
          <w:p w14:paraId="7C14509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修正系数</w:t>
            </w:r>
          </w:p>
        </w:tc>
      </w:tr>
      <w:tr w14:paraId="2D36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765" w:type="dxa"/>
            <w:gridSpan w:val="3"/>
            <w:vMerge w:val="continue"/>
            <w:noWrap w:val="0"/>
            <w:vAlign w:val="center"/>
          </w:tcPr>
          <w:p w14:paraId="42BB311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832" w:type="dxa"/>
            <w:noWrap w:val="0"/>
            <w:vAlign w:val="center"/>
          </w:tcPr>
          <w:p w14:paraId="0FBCE22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831" w:type="dxa"/>
            <w:noWrap w:val="0"/>
            <w:vAlign w:val="center"/>
          </w:tcPr>
          <w:p w14:paraId="41BBA7F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832" w:type="dxa"/>
            <w:noWrap w:val="0"/>
            <w:vAlign w:val="center"/>
          </w:tcPr>
          <w:p w14:paraId="1C692AC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7591522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840" w:type="dxa"/>
            <w:noWrap w:val="0"/>
            <w:vAlign w:val="center"/>
          </w:tcPr>
          <w:p w14:paraId="466AD07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c>
          <w:tcPr>
            <w:tcW w:w="576" w:type="dxa"/>
            <w:noWrap w:val="0"/>
            <w:vAlign w:val="center"/>
          </w:tcPr>
          <w:p w14:paraId="3F38107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优</w:t>
            </w:r>
          </w:p>
        </w:tc>
        <w:tc>
          <w:tcPr>
            <w:tcW w:w="601" w:type="dxa"/>
            <w:noWrap w:val="0"/>
            <w:vAlign w:val="center"/>
          </w:tcPr>
          <w:p w14:paraId="28B2FBC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较优</w:t>
            </w:r>
          </w:p>
        </w:tc>
        <w:tc>
          <w:tcPr>
            <w:tcW w:w="599" w:type="dxa"/>
            <w:noWrap w:val="0"/>
            <w:vAlign w:val="center"/>
          </w:tcPr>
          <w:p w14:paraId="1933C15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599" w:type="dxa"/>
            <w:noWrap w:val="0"/>
            <w:vAlign w:val="center"/>
          </w:tcPr>
          <w:p w14:paraId="27C43E6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较差</w:t>
            </w:r>
          </w:p>
        </w:tc>
        <w:tc>
          <w:tcPr>
            <w:tcW w:w="593" w:type="dxa"/>
            <w:noWrap w:val="0"/>
            <w:vAlign w:val="center"/>
          </w:tcPr>
          <w:p w14:paraId="35CF57E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差</w:t>
            </w:r>
          </w:p>
        </w:tc>
      </w:tr>
      <w:tr w14:paraId="53F4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restart"/>
            <w:noWrap w:val="0"/>
            <w:vAlign w:val="center"/>
          </w:tcPr>
          <w:p w14:paraId="5FD2649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区域因素</w:t>
            </w:r>
          </w:p>
        </w:tc>
        <w:tc>
          <w:tcPr>
            <w:tcW w:w="393" w:type="dxa"/>
            <w:vMerge w:val="restart"/>
            <w:noWrap w:val="0"/>
            <w:vAlign w:val="center"/>
          </w:tcPr>
          <w:p w14:paraId="02508CD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繁华程度</w:t>
            </w:r>
          </w:p>
        </w:tc>
        <w:tc>
          <w:tcPr>
            <w:tcW w:w="1088" w:type="dxa"/>
            <w:noWrap w:val="0"/>
            <w:vAlign w:val="center"/>
          </w:tcPr>
          <w:p w14:paraId="31734B2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距商服中心距离</w:t>
            </w:r>
          </w:p>
        </w:tc>
        <w:tc>
          <w:tcPr>
            <w:tcW w:w="832" w:type="dxa"/>
            <w:noWrap w:val="0"/>
            <w:vAlign w:val="center"/>
          </w:tcPr>
          <w:p w14:paraId="0462DCE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＜200米</w:t>
            </w:r>
          </w:p>
        </w:tc>
        <w:tc>
          <w:tcPr>
            <w:tcW w:w="831" w:type="dxa"/>
            <w:noWrap w:val="0"/>
            <w:vAlign w:val="center"/>
          </w:tcPr>
          <w:p w14:paraId="17BB54A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200-500米</w:t>
            </w:r>
          </w:p>
        </w:tc>
        <w:tc>
          <w:tcPr>
            <w:tcW w:w="832" w:type="dxa"/>
            <w:noWrap w:val="0"/>
            <w:vAlign w:val="center"/>
          </w:tcPr>
          <w:p w14:paraId="1E02C3C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32" w:type="dxa"/>
            <w:noWrap w:val="0"/>
            <w:vAlign w:val="center"/>
          </w:tcPr>
          <w:p w14:paraId="3CAA816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1000-1500米</w:t>
            </w:r>
          </w:p>
        </w:tc>
        <w:tc>
          <w:tcPr>
            <w:tcW w:w="840" w:type="dxa"/>
            <w:noWrap w:val="0"/>
            <w:vAlign w:val="center"/>
          </w:tcPr>
          <w:p w14:paraId="2A1F470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＞1500米</w:t>
            </w:r>
          </w:p>
        </w:tc>
        <w:tc>
          <w:tcPr>
            <w:tcW w:w="576" w:type="dxa"/>
            <w:noWrap w:val="0"/>
            <w:vAlign w:val="center"/>
          </w:tcPr>
          <w:p w14:paraId="10D780D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7304C7D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340B843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471AC42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6E0B342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1802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4F99AD3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vMerge w:val="continue"/>
            <w:noWrap w:val="0"/>
            <w:vAlign w:val="center"/>
          </w:tcPr>
          <w:p w14:paraId="4E2E28B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088" w:type="dxa"/>
            <w:noWrap w:val="0"/>
            <w:vAlign w:val="center"/>
          </w:tcPr>
          <w:p w14:paraId="32076DC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商服网点密度</w:t>
            </w:r>
          </w:p>
        </w:tc>
        <w:tc>
          <w:tcPr>
            <w:tcW w:w="832" w:type="dxa"/>
            <w:noWrap w:val="0"/>
            <w:vAlign w:val="center"/>
          </w:tcPr>
          <w:p w14:paraId="5B0EB3B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密集</w:t>
            </w:r>
          </w:p>
        </w:tc>
        <w:tc>
          <w:tcPr>
            <w:tcW w:w="831" w:type="dxa"/>
            <w:noWrap w:val="0"/>
            <w:vAlign w:val="center"/>
          </w:tcPr>
          <w:p w14:paraId="751AB49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较密集</w:t>
            </w:r>
          </w:p>
        </w:tc>
        <w:tc>
          <w:tcPr>
            <w:tcW w:w="832" w:type="dxa"/>
            <w:noWrap w:val="0"/>
            <w:vAlign w:val="center"/>
          </w:tcPr>
          <w:p w14:paraId="5B230A8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40D514A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较不密集</w:t>
            </w:r>
          </w:p>
        </w:tc>
        <w:tc>
          <w:tcPr>
            <w:tcW w:w="840" w:type="dxa"/>
            <w:noWrap w:val="0"/>
            <w:vAlign w:val="center"/>
          </w:tcPr>
          <w:p w14:paraId="6B2AF15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不密集</w:t>
            </w:r>
          </w:p>
        </w:tc>
        <w:tc>
          <w:tcPr>
            <w:tcW w:w="576" w:type="dxa"/>
            <w:noWrap w:val="0"/>
            <w:vAlign w:val="center"/>
          </w:tcPr>
          <w:p w14:paraId="55338F0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c>
          <w:tcPr>
            <w:tcW w:w="601" w:type="dxa"/>
            <w:noWrap w:val="0"/>
            <w:vAlign w:val="center"/>
          </w:tcPr>
          <w:p w14:paraId="2A10D81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599" w:type="dxa"/>
            <w:noWrap w:val="0"/>
            <w:vAlign w:val="center"/>
          </w:tcPr>
          <w:p w14:paraId="25B92EF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609506F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-0.8</w:t>
            </w:r>
          </w:p>
        </w:tc>
        <w:tc>
          <w:tcPr>
            <w:tcW w:w="593" w:type="dxa"/>
            <w:noWrap w:val="0"/>
            <w:vAlign w:val="center"/>
          </w:tcPr>
          <w:p w14:paraId="2709B87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w:t>
            </w:r>
          </w:p>
        </w:tc>
      </w:tr>
      <w:tr w14:paraId="1E21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21B0AF4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vMerge w:val="continue"/>
            <w:noWrap w:val="0"/>
            <w:vAlign w:val="center"/>
          </w:tcPr>
          <w:p w14:paraId="596B46D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088" w:type="dxa"/>
            <w:noWrap w:val="0"/>
            <w:vAlign w:val="center"/>
          </w:tcPr>
          <w:p w14:paraId="7B56436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道路通达度</w:t>
            </w:r>
          </w:p>
        </w:tc>
        <w:tc>
          <w:tcPr>
            <w:tcW w:w="832" w:type="dxa"/>
            <w:noWrap w:val="0"/>
            <w:vAlign w:val="center"/>
          </w:tcPr>
          <w:p w14:paraId="6263E01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有生活型主干道通过</w:t>
            </w:r>
          </w:p>
        </w:tc>
        <w:tc>
          <w:tcPr>
            <w:tcW w:w="831" w:type="dxa"/>
            <w:noWrap w:val="0"/>
            <w:vAlign w:val="center"/>
          </w:tcPr>
          <w:p w14:paraId="007E19F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有混合型主干道通过</w:t>
            </w:r>
          </w:p>
        </w:tc>
        <w:tc>
          <w:tcPr>
            <w:tcW w:w="832" w:type="dxa"/>
            <w:noWrap w:val="0"/>
            <w:vAlign w:val="center"/>
          </w:tcPr>
          <w:p w14:paraId="13F2228C">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有生活型次干道通过</w:t>
            </w:r>
          </w:p>
        </w:tc>
        <w:tc>
          <w:tcPr>
            <w:tcW w:w="832" w:type="dxa"/>
            <w:noWrap w:val="0"/>
            <w:vAlign w:val="center"/>
          </w:tcPr>
          <w:p w14:paraId="40D0135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交通型道路通过</w:t>
            </w:r>
          </w:p>
        </w:tc>
        <w:tc>
          <w:tcPr>
            <w:tcW w:w="840" w:type="dxa"/>
            <w:noWrap w:val="0"/>
            <w:vAlign w:val="center"/>
          </w:tcPr>
          <w:p w14:paraId="74F4191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支路通过</w:t>
            </w:r>
          </w:p>
        </w:tc>
        <w:tc>
          <w:tcPr>
            <w:tcW w:w="576" w:type="dxa"/>
            <w:noWrap w:val="0"/>
            <w:vAlign w:val="center"/>
          </w:tcPr>
          <w:p w14:paraId="3B65C31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589F77F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42D2179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14F9E4F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68A9DAE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2C25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7C2BCFA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vMerge w:val="continue"/>
            <w:noWrap w:val="0"/>
            <w:vAlign w:val="center"/>
          </w:tcPr>
          <w:p w14:paraId="7DA15CF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088" w:type="dxa"/>
            <w:noWrap w:val="0"/>
            <w:vAlign w:val="center"/>
          </w:tcPr>
          <w:p w14:paraId="139E2AE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公交便捷度</w:t>
            </w:r>
          </w:p>
        </w:tc>
        <w:tc>
          <w:tcPr>
            <w:tcW w:w="832" w:type="dxa"/>
            <w:noWrap w:val="0"/>
            <w:vAlign w:val="center"/>
          </w:tcPr>
          <w:p w14:paraId="3B0C9C5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5条以上公交线路通过</w:t>
            </w:r>
          </w:p>
        </w:tc>
        <w:tc>
          <w:tcPr>
            <w:tcW w:w="831" w:type="dxa"/>
            <w:noWrap w:val="0"/>
            <w:vAlign w:val="center"/>
          </w:tcPr>
          <w:p w14:paraId="2200966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3-4条公交线路</w:t>
            </w:r>
          </w:p>
        </w:tc>
        <w:tc>
          <w:tcPr>
            <w:tcW w:w="832" w:type="dxa"/>
            <w:noWrap w:val="0"/>
            <w:vAlign w:val="center"/>
          </w:tcPr>
          <w:p w14:paraId="7D16C71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2条公交线路</w:t>
            </w:r>
          </w:p>
        </w:tc>
        <w:tc>
          <w:tcPr>
            <w:tcW w:w="832" w:type="dxa"/>
            <w:noWrap w:val="0"/>
            <w:vAlign w:val="center"/>
          </w:tcPr>
          <w:p w14:paraId="02D691E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1条公交线路</w:t>
            </w:r>
          </w:p>
        </w:tc>
        <w:tc>
          <w:tcPr>
            <w:tcW w:w="840" w:type="dxa"/>
            <w:noWrap w:val="0"/>
            <w:vAlign w:val="center"/>
          </w:tcPr>
          <w:p w14:paraId="2EA82B1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无公交线路</w:t>
            </w:r>
          </w:p>
        </w:tc>
        <w:tc>
          <w:tcPr>
            <w:tcW w:w="576" w:type="dxa"/>
            <w:noWrap w:val="0"/>
            <w:vAlign w:val="center"/>
          </w:tcPr>
          <w:p w14:paraId="568C2E5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37626A8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088A9B0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7C83BF0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0534FC1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7CC70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193D88A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noWrap w:val="0"/>
            <w:vAlign w:val="center"/>
          </w:tcPr>
          <w:p w14:paraId="19E7796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w:t>
            </w:r>
          </w:p>
        </w:tc>
        <w:tc>
          <w:tcPr>
            <w:tcW w:w="1088" w:type="dxa"/>
            <w:noWrap w:val="0"/>
            <w:vAlign w:val="center"/>
          </w:tcPr>
          <w:p w14:paraId="10F2944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基础设施完善度</w:t>
            </w:r>
          </w:p>
        </w:tc>
        <w:tc>
          <w:tcPr>
            <w:tcW w:w="832" w:type="dxa"/>
            <w:noWrap w:val="0"/>
            <w:vAlign w:val="center"/>
          </w:tcPr>
          <w:p w14:paraId="6515906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供水、供电、供气设施齐备，保障度高</w:t>
            </w:r>
          </w:p>
        </w:tc>
        <w:tc>
          <w:tcPr>
            <w:tcW w:w="831" w:type="dxa"/>
            <w:noWrap w:val="0"/>
            <w:vAlign w:val="center"/>
          </w:tcPr>
          <w:p w14:paraId="5603746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供水、供电、供气设施齐备，保障度较高</w:t>
            </w:r>
          </w:p>
        </w:tc>
        <w:tc>
          <w:tcPr>
            <w:tcW w:w="832" w:type="dxa"/>
            <w:noWrap w:val="0"/>
            <w:vAlign w:val="center"/>
          </w:tcPr>
          <w:p w14:paraId="70D9897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供水、供电、供气设施基本齐备，有一定保障</w:t>
            </w:r>
          </w:p>
        </w:tc>
        <w:tc>
          <w:tcPr>
            <w:tcW w:w="832" w:type="dxa"/>
            <w:noWrap w:val="0"/>
            <w:vAlign w:val="center"/>
          </w:tcPr>
          <w:p w14:paraId="5154353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供水、供电、供气设施不齐备，保障度较低</w:t>
            </w:r>
          </w:p>
        </w:tc>
        <w:tc>
          <w:tcPr>
            <w:tcW w:w="840" w:type="dxa"/>
            <w:noWrap w:val="0"/>
            <w:vAlign w:val="center"/>
          </w:tcPr>
          <w:p w14:paraId="7A74487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供水、供电、供气设施不齐备，保障度低</w:t>
            </w:r>
          </w:p>
        </w:tc>
        <w:tc>
          <w:tcPr>
            <w:tcW w:w="576" w:type="dxa"/>
            <w:noWrap w:val="0"/>
            <w:vAlign w:val="center"/>
          </w:tcPr>
          <w:p w14:paraId="0BF4710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0586CF5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0440501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4C062C0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3DF0B89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7FBA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5B0A8DC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noWrap w:val="0"/>
            <w:vAlign w:val="center"/>
          </w:tcPr>
          <w:p w14:paraId="130FC17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公用设施</w:t>
            </w:r>
          </w:p>
        </w:tc>
        <w:tc>
          <w:tcPr>
            <w:tcW w:w="1088" w:type="dxa"/>
            <w:noWrap w:val="0"/>
            <w:vAlign w:val="center"/>
          </w:tcPr>
          <w:p w14:paraId="47117DF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学校、医院等公用服务设施完备度</w:t>
            </w:r>
          </w:p>
        </w:tc>
        <w:tc>
          <w:tcPr>
            <w:tcW w:w="832" w:type="dxa"/>
            <w:noWrap w:val="0"/>
            <w:vAlign w:val="center"/>
          </w:tcPr>
          <w:p w14:paraId="424E39A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各类公用服务设施齐全，能很好满足居民生活</w:t>
            </w:r>
          </w:p>
        </w:tc>
        <w:tc>
          <w:tcPr>
            <w:tcW w:w="831" w:type="dxa"/>
            <w:noWrap w:val="0"/>
            <w:vAlign w:val="center"/>
          </w:tcPr>
          <w:p w14:paraId="7A3754D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公用服务设施较齐全，能较好满足居民生活</w:t>
            </w:r>
          </w:p>
        </w:tc>
        <w:tc>
          <w:tcPr>
            <w:tcW w:w="832" w:type="dxa"/>
            <w:noWrap w:val="0"/>
            <w:vAlign w:val="center"/>
          </w:tcPr>
          <w:p w14:paraId="76A3309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公用服务设施基本齐全，基本能满足居民生活</w:t>
            </w:r>
          </w:p>
        </w:tc>
        <w:tc>
          <w:tcPr>
            <w:tcW w:w="832" w:type="dxa"/>
            <w:noWrap w:val="0"/>
            <w:vAlign w:val="center"/>
          </w:tcPr>
          <w:p w14:paraId="769FF68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公用服务设施不够齐全, 对居民生活有一定影响</w:t>
            </w:r>
          </w:p>
        </w:tc>
        <w:tc>
          <w:tcPr>
            <w:tcW w:w="840" w:type="dxa"/>
            <w:noWrap w:val="0"/>
            <w:vAlign w:val="center"/>
          </w:tcPr>
          <w:p w14:paraId="7081F15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仅零星设施分布有少量公用服务设施</w:t>
            </w:r>
          </w:p>
        </w:tc>
        <w:tc>
          <w:tcPr>
            <w:tcW w:w="576" w:type="dxa"/>
            <w:noWrap w:val="0"/>
            <w:vAlign w:val="center"/>
          </w:tcPr>
          <w:p w14:paraId="48220E9C">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1FE08F6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620675F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3CD4FD4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4E2BEB9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48999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0416DE5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noWrap w:val="0"/>
            <w:vAlign w:val="center"/>
          </w:tcPr>
          <w:p w14:paraId="0DF90A9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人口状况</w:t>
            </w:r>
          </w:p>
        </w:tc>
        <w:tc>
          <w:tcPr>
            <w:tcW w:w="1088" w:type="dxa"/>
            <w:noWrap w:val="0"/>
            <w:vAlign w:val="center"/>
          </w:tcPr>
          <w:p w14:paraId="190F7E1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人口密度</w:t>
            </w:r>
          </w:p>
        </w:tc>
        <w:tc>
          <w:tcPr>
            <w:tcW w:w="832" w:type="dxa"/>
            <w:noWrap w:val="0"/>
            <w:vAlign w:val="center"/>
          </w:tcPr>
          <w:p w14:paraId="5286B3C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w:t>
            </w:r>
          </w:p>
        </w:tc>
        <w:tc>
          <w:tcPr>
            <w:tcW w:w="831" w:type="dxa"/>
            <w:noWrap w:val="0"/>
            <w:vAlign w:val="center"/>
          </w:tcPr>
          <w:p w14:paraId="5B43096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较高</w:t>
            </w:r>
          </w:p>
        </w:tc>
        <w:tc>
          <w:tcPr>
            <w:tcW w:w="832" w:type="dxa"/>
            <w:noWrap w:val="0"/>
            <w:vAlign w:val="center"/>
          </w:tcPr>
          <w:p w14:paraId="66104D3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6FAEE2E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较低</w:t>
            </w:r>
          </w:p>
        </w:tc>
        <w:tc>
          <w:tcPr>
            <w:tcW w:w="840" w:type="dxa"/>
            <w:noWrap w:val="0"/>
            <w:vAlign w:val="center"/>
          </w:tcPr>
          <w:p w14:paraId="01DDA07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w:t>
            </w:r>
          </w:p>
        </w:tc>
        <w:tc>
          <w:tcPr>
            <w:tcW w:w="576" w:type="dxa"/>
            <w:noWrap w:val="0"/>
            <w:vAlign w:val="center"/>
          </w:tcPr>
          <w:p w14:paraId="7C87C11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7E70BE9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2A8190F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13B4AE6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3" w:type="dxa"/>
            <w:noWrap w:val="0"/>
            <w:vAlign w:val="center"/>
          </w:tcPr>
          <w:p w14:paraId="240CEE0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73F6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70329EE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393" w:type="dxa"/>
            <w:noWrap w:val="0"/>
            <w:vAlign w:val="center"/>
          </w:tcPr>
          <w:p w14:paraId="4A869D7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规划状况</w:t>
            </w:r>
          </w:p>
        </w:tc>
        <w:tc>
          <w:tcPr>
            <w:tcW w:w="1088" w:type="dxa"/>
            <w:noWrap w:val="0"/>
            <w:vAlign w:val="center"/>
          </w:tcPr>
          <w:p w14:paraId="1B9D0A4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城市规划</w:t>
            </w:r>
          </w:p>
        </w:tc>
        <w:tc>
          <w:tcPr>
            <w:tcW w:w="832" w:type="dxa"/>
            <w:noWrap w:val="0"/>
            <w:vAlign w:val="center"/>
          </w:tcPr>
          <w:p w14:paraId="46B0956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有利</w:t>
            </w:r>
          </w:p>
        </w:tc>
        <w:tc>
          <w:tcPr>
            <w:tcW w:w="831" w:type="dxa"/>
            <w:noWrap w:val="0"/>
            <w:vAlign w:val="center"/>
          </w:tcPr>
          <w:p w14:paraId="224B53D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较有利</w:t>
            </w:r>
          </w:p>
        </w:tc>
        <w:tc>
          <w:tcPr>
            <w:tcW w:w="832" w:type="dxa"/>
            <w:noWrap w:val="0"/>
            <w:vAlign w:val="center"/>
          </w:tcPr>
          <w:p w14:paraId="76C8E51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5C44835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较不利</w:t>
            </w:r>
          </w:p>
        </w:tc>
        <w:tc>
          <w:tcPr>
            <w:tcW w:w="840" w:type="dxa"/>
            <w:noWrap w:val="0"/>
            <w:vAlign w:val="center"/>
          </w:tcPr>
          <w:p w14:paraId="1E338C7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不利</w:t>
            </w:r>
          </w:p>
        </w:tc>
        <w:tc>
          <w:tcPr>
            <w:tcW w:w="576" w:type="dxa"/>
            <w:noWrap w:val="0"/>
            <w:vAlign w:val="center"/>
          </w:tcPr>
          <w:p w14:paraId="7186EBD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c>
          <w:tcPr>
            <w:tcW w:w="601" w:type="dxa"/>
            <w:noWrap w:val="0"/>
            <w:vAlign w:val="center"/>
          </w:tcPr>
          <w:p w14:paraId="5A733CC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9" w:type="dxa"/>
            <w:noWrap w:val="0"/>
            <w:vAlign w:val="center"/>
          </w:tcPr>
          <w:p w14:paraId="70BF0D6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129CF60C">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593" w:type="dxa"/>
            <w:noWrap w:val="0"/>
            <w:vAlign w:val="center"/>
          </w:tcPr>
          <w:p w14:paraId="2988CBC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w:t>
            </w:r>
          </w:p>
        </w:tc>
      </w:tr>
      <w:tr w14:paraId="1E24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restart"/>
            <w:noWrap w:val="0"/>
            <w:vAlign w:val="center"/>
          </w:tcPr>
          <w:p w14:paraId="35F67EC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个别因素</w:t>
            </w:r>
          </w:p>
        </w:tc>
        <w:tc>
          <w:tcPr>
            <w:tcW w:w="1481" w:type="dxa"/>
            <w:gridSpan w:val="2"/>
            <w:noWrap w:val="0"/>
            <w:vAlign w:val="center"/>
          </w:tcPr>
          <w:p w14:paraId="0D881B1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距公交站点的距离</w:t>
            </w:r>
          </w:p>
        </w:tc>
        <w:tc>
          <w:tcPr>
            <w:tcW w:w="832" w:type="dxa"/>
            <w:noWrap w:val="0"/>
            <w:vAlign w:val="center"/>
          </w:tcPr>
          <w:p w14:paraId="32B236A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＜200米</w:t>
            </w:r>
          </w:p>
        </w:tc>
        <w:tc>
          <w:tcPr>
            <w:tcW w:w="831" w:type="dxa"/>
            <w:noWrap w:val="0"/>
            <w:vAlign w:val="center"/>
          </w:tcPr>
          <w:p w14:paraId="6318495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200-300米</w:t>
            </w:r>
          </w:p>
        </w:tc>
        <w:tc>
          <w:tcPr>
            <w:tcW w:w="832" w:type="dxa"/>
            <w:noWrap w:val="0"/>
            <w:vAlign w:val="center"/>
          </w:tcPr>
          <w:p w14:paraId="376AE87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300-400米</w:t>
            </w:r>
          </w:p>
        </w:tc>
        <w:tc>
          <w:tcPr>
            <w:tcW w:w="832" w:type="dxa"/>
            <w:noWrap w:val="0"/>
            <w:vAlign w:val="center"/>
          </w:tcPr>
          <w:p w14:paraId="11EF6C7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400-500米</w:t>
            </w:r>
          </w:p>
        </w:tc>
        <w:tc>
          <w:tcPr>
            <w:tcW w:w="840" w:type="dxa"/>
            <w:noWrap w:val="0"/>
            <w:vAlign w:val="center"/>
          </w:tcPr>
          <w:p w14:paraId="207BBD9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＞500米</w:t>
            </w:r>
          </w:p>
        </w:tc>
        <w:tc>
          <w:tcPr>
            <w:tcW w:w="576" w:type="dxa"/>
            <w:noWrap w:val="0"/>
            <w:vAlign w:val="center"/>
          </w:tcPr>
          <w:p w14:paraId="513EC233">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4766CFA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499D00F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74CCEDA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3" w:type="dxa"/>
            <w:noWrap w:val="0"/>
            <w:vAlign w:val="center"/>
          </w:tcPr>
          <w:p w14:paraId="23C4843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357C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23AEFA3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481" w:type="dxa"/>
            <w:gridSpan w:val="2"/>
            <w:noWrap w:val="0"/>
            <w:vAlign w:val="center"/>
          </w:tcPr>
          <w:p w14:paraId="7D7D422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距江景、山景资源距离</w:t>
            </w:r>
          </w:p>
        </w:tc>
        <w:tc>
          <w:tcPr>
            <w:tcW w:w="832" w:type="dxa"/>
            <w:noWrap w:val="0"/>
            <w:vAlign w:val="center"/>
          </w:tcPr>
          <w:p w14:paraId="343133E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＜300米</w:t>
            </w:r>
          </w:p>
        </w:tc>
        <w:tc>
          <w:tcPr>
            <w:tcW w:w="831" w:type="dxa"/>
            <w:noWrap w:val="0"/>
            <w:vAlign w:val="center"/>
          </w:tcPr>
          <w:p w14:paraId="461E754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300-500米</w:t>
            </w:r>
          </w:p>
        </w:tc>
        <w:tc>
          <w:tcPr>
            <w:tcW w:w="832" w:type="dxa"/>
            <w:noWrap w:val="0"/>
            <w:vAlign w:val="center"/>
          </w:tcPr>
          <w:p w14:paraId="29C1BCA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500-1000米</w:t>
            </w:r>
          </w:p>
        </w:tc>
        <w:tc>
          <w:tcPr>
            <w:tcW w:w="832" w:type="dxa"/>
            <w:noWrap w:val="0"/>
            <w:vAlign w:val="center"/>
          </w:tcPr>
          <w:p w14:paraId="483C60F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1000-2000米</w:t>
            </w:r>
          </w:p>
        </w:tc>
        <w:tc>
          <w:tcPr>
            <w:tcW w:w="840" w:type="dxa"/>
            <w:noWrap w:val="0"/>
            <w:vAlign w:val="center"/>
          </w:tcPr>
          <w:p w14:paraId="555BA7A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＞2000米</w:t>
            </w:r>
          </w:p>
        </w:tc>
        <w:tc>
          <w:tcPr>
            <w:tcW w:w="576" w:type="dxa"/>
            <w:noWrap w:val="0"/>
            <w:vAlign w:val="center"/>
          </w:tcPr>
          <w:p w14:paraId="069FA2FC">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242766A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55CADAE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4CC3E45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3" w:type="dxa"/>
            <w:noWrap w:val="0"/>
            <w:vAlign w:val="center"/>
          </w:tcPr>
          <w:p w14:paraId="1574AC7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77FA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5DF426B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481" w:type="dxa"/>
            <w:gridSpan w:val="2"/>
            <w:noWrap w:val="0"/>
            <w:vAlign w:val="center"/>
          </w:tcPr>
          <w:p w14:paraId="49FED9D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噪声、大气污染</w:t>
            </w:r>
          </w:p>
        </w:tc>
        <w:tc>
          <w:tcPr>
            <w:tcW w:w="832" w:type="dxa"/>
            <w:noWrap w:val="0"/>
            <w:vAlign w:val="center"/>
          </w:tcPr>
          <w:p w14:paraId="07538CC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831" w:type="dxa"/>
            <w:noWrap w:val="0"/>
            <w:vAlign w:val="center"/>
          </w:tcPr>
          <w:p w14:paraId="47AFC09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轻微污染</w:t>
            </w:r>
          </w:p>
        </w:tc>
        <w:tc>
          <w:tcPr>
            <w:tcW w:w="832" w:type="dxa"/>
            <w:noWrap w:val="0"/>
            <w:vAlign w:val="center"/>
          </w:tcPr>
          <w:p w14:paraId="4BA5747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一般</w:t>
            </w:r>
          </w:p>
        </w:tc>
        <w:tc>
          <w:tcPr>
            <w:tcW w:w="832" w:type="dxa"/>
            <w:noWrap w:val="0"/>
            <w:vAlign w:val="center"/>
          </w:tcPr>
          <w:p w14:paraId="57BDB038">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较重污染</w:t>
            </w:r>
          </w:p>
        </w:tc>
        <w:tc>
          <w:tcPr>
            <w:tcW w:w="840" w:type="dxa"/>
            <w:noWrap w:val="0"/>
            <w:vAlign w:val="center"/>
          </w:tcPr>
          <w:p w14:paraId="288BB2D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严重污染</w:t>
            </w:r>
          </w:p>
        </w:tc>
        <w:tc>
          <w:tcPr>
            <w:tcW w:w="576" w:type="dxa"/>
            <w:noWrap w:val="0"/>
            <w:vAlign w:val="center"/>
          </w:tcPr>
          <w:p w14:paraId="6EF351B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c>
          <w:tcPr>
            <w:tcW w:w="601" w:type="dxa"/>
            <w:noWrap w:val="0"/>
            <w:vAlign w:val="center"/>
          </w:tcPr>
          <w:p w14:paraId="51104B4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9" w:type="dxa"/>
            <w:noWrap w:val="0"/>
            <w:vAlign w:val="center"/>
          </w:tcPr>
          <w:p w14:paraId="388C7F9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5A471BD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593" w:type="dxa"/>
            <w:noWrap w:val="0"/>
            <w:vAlign w:val="center"/>
          </w:tcPr>
          <w:p w14:paraId="21F6C59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w:t>
            </w:r>
          </w:p>
        </w:tc>
      </w:tr>
      <w:tr w14:paraId="6542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3223E20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481" w:type="dxa"/>
            <w:gridSpan w:val="2"/>
            <w:noWrap w:val="0"/>
            <w:vAlign w:val="center"/>
          </w:tcPr>
          <w:p w14:paraId="40EBC07D">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宗地坡度</w:t>
            </w:r>
          </w:p>
        </w:tc>
        <w:tc>
          <w:tcPr>
            <w:tcW w:w="832" w:type="dxa"/>
            <w:noWrap w:val="0"/>
            <w:vAlign w:val="center"/>
          </w:tcPr>
          <w:p w14:paraId="4243674F">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w:t>
            </w:r>
          </w:p>
        </w:tc>
        <w:tc>
          <w:tcPr>
            <w:tcW w:w="831" w:type="dxa"/>
            <w:noWrap w:val="0"/>
            <w:vAlign w:val="center"/>
          </w:tcPr>
          <w:p w14:paraId="4D71780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5-10</w:t>
            </w:r>
          </w:p>
        </w:tc>
        <w:tc>
          <w:tcPr>
            <w:tcW w:w="832" w:type="dxa"/>
            <w:noWrap w:val="0"/>
            <w:vAlign w:val="center"/>
          </w:tcPr>
          <w:p w14:paraId="326B064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10-15</w:t>
            </w:r>
          </w:p>
        </w:tc>
        <w:tc>
          <w:tcPr>
            <w:tcW w:w="832" w:type="dxa"/>
            <w:noWrap w:val="0"/>
            <w:vAlign w:val="center"/>
          </w:tcPr>
          <w:p w14:paraId="181ED55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15-25</w:t>
            </w:r>
          </w:p>
        </w:tc>
        <w:tc>
          <w:tcPr>
            <w:tcW w:w="840" w:type="dxa"/>
            <w:noWrap w:val="0"/>
            <w:vAlign w:val="center"/>
          </w:tcPr>
          <w:p w14:paraId="32328D1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＞25°</w:t>
            </w:r>
          </w:p>
        </w:tc>
        <w:tc>
          <w:tcPr>
            <w:tcW w:w="576" w:type="dxa"/>
            <w:noWrap w:val="0"/>
            <w:vAlign w:val="center"/>
          </w:tcPr>
          <w:p w14:paraId="10B8ACEA">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1" w:type="dxa"/>
            <w:noWrap w:val="0"/>
            <w:vAlign w:val="center"/>
          </w:tcPr>
          <w:p w14:paraId="3208D66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0.3</w:t>
            </w:r>
          </w:p>
        </w:tc>
        <w:tc>
          <w:tcPr>
            <w:tcW w:w="599" w:type="dxa"/>
            <w:noWrap w:val="0"/>
            <w:vAlign w:val="center"/>
          </w:tcPr>
          <w:p w14:paraId="1CD800D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40675ED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-0.3</w:t>
            </w:r>
          </w:p>
        </w:tc>
        <w:tc>
          <w:tcPr>
            <w:tcW w:w="593" w:type="dxa"/>
            <w:noWrap w:val="0"/>
            <w:vAlign w:val="center"/>
          </w:tcPr>
          <w:p w14:paraId="64CD9835">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-0.5</w:t>
            </w:r>
          </w:p>
        </w:tc>
      </w:tr>
      <w:tr w14:paraId="7584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84" w:type="dxa"/>
            <w:vMerge w:val="continue"/>
            <w:noWrap w:val="0"/>
            <w:vAlign w:val="center"/>
          </w:tcPr>
          <w:p w14:paraId="0C535E8C">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p>
        </w:tc>
        <w:tc>
          <w:tcPr>
            <w:tcW w:w="1481" w:type="dxa"/>
            <w:gridSpan w:val="2"/>
            <w:noWrap w:val="0"/>
            <w:vAlign w:val="center"/>
          </w:tcPr>
          <w:p w14:paraId="5A1CD34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地质灾害</w:t>
            </w:r>
          </w:p>
        </w:tc>
        <w:tc>
          <w:tcPr>
            <w:tcW w:w="832" w:type="dxa"/>
            <w:noWrap w:val="0"/>
            <w:vAlign w:val="center"/>
          </w:tcPr>
          <w:p w14:paraId="4E145004">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无</w:t>
            </w:r>
          </w:p>
        </w:tc>
        <w:tc>
          <w:tcPr>
            <w:tcW w:w="831" w:type="dxa"/>
            <w:noWrap w:val="0"/>
            <w:vAlign w:val="center"/>
          </w:tcPr>
          <w:p w14:paraId="4C482BA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不易发区</w:t>
            </w:r>
          </w:p>
        </w:tc>
        <w:tc>
          <w:tcPr>
            <w:tcW w:w="832" w:type="dxa"/>
            <w:noWrap w:val="0"/>
            <w:vAlign w:val="center"/>
          </w:tcPr>
          <w:p w14:paraId="17307F47">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低易发区</w:t>
            </w:r>
          </w:p>
        </w:tc>
        <w:tc>
          <w:tcPr>
            <w:tcW w:w="832" w:type="dxa"/>
            <w:noWrap w:val="0"/>
            <w:vAlign w:val="center"/>
          </w:tcPr>
          <w:p w14:paraId="3ABE483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中易发区</w:t>
            </w:r>
          </w:p>
        </w:tc>
        <w:tc>
          <w:tcPr>
            <w:tcW w:w="840" w:type="dxa"/>
            <w:noWrap w:val="0"/>
            <w:vAlign w:val="center"/>
          </w:tcPr>
          <w:p w14:paraId="652C6B6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高易发区</w:t>
            </w:r>
          </w:p>
        </w:tc>
        <w:tc>
          <w:tcPr>
            <w:tcW w:w="576" w:type="dxa"/>
            <w:noWrap w:val="0"/>
            <w:vAlign w:val="center"/>
          </w:tcPr>
          <w:p w14:paraId="31202BA9">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0.5</w:t>
            </w:r>
          </w:p>
        </w:tc>
        <w:tc>
          <w:tcPr>
            <w:tcW w:w="601" w:type="dxa"/>
            <w:noWrap w:val="0"/>
            <w:vAlign w:val="center"/>
          </w:tcPr>
          <w:p w14:paraId="39D21946">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0.3</w:t>
            </w:r>
          </w:p>
        </w:tc>
        <w:tc>
          <w:tcPr>
            <w:tcW w:w="599" w:type="dxa"/>
            <w:noWrap w:val="0"/>
            <w:vAlign w:val="center"/>
          </w:tcPr>
          <w:p w14:paraId="5FA5C55B">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0.0</w:t>
            </w:r>
          </w:p>
        </w:tc>
        <w:tc>
          <w:tcPr>
            <w:tcW w:w="599" w:type="dxa"/>
            <w:noWrap w:val="0"/>
            <w:vAlign w:val="center"/>
          </w:tcPr>
          <w:p w14:paraId="4551C72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-0.3</w:t>
            </w:r>
          </w:p>
        </w:tc>
        <w:tc>
          <w:tcPr>
            <w:tcW w:w="593" w:type="dxa"/>
            <w:noWrap w:val="0"/>
            <w:vAlign w:val="center"/>
          </w:tcPr>
          <w:p w14:paraId="3B8F921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t>-0.5</w:t>
            </w:r>
          </w:p>
        </w:tc>
      </w:tr>
      <w:tr w14:paraId="384B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932" w:type="dxa"/>
            <w:gridSpan w:val="8"/>
            <w:noWrap w:val="0"/>
            <w:vAlign w:val="center"/>
          </w:tcPr>
          <w:p w14:paraId="02D842A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hint="eastAsia" w:ascii="Times New Roman" w:hAnsi="Times New Roman" w:eastAsia="方正仿宋_GBK" w:cs="Tahoma"/>
                <w:color w:val="auto"/>
                <w:sz w:val="18"/>
                <w:szCs w:val="18"/>
              </w:rPr>
              <w:t>合计</w:t>
            </w:r>
          </w:p>
        </w:tc>
        <w:tc>
          <w:tcPr>
            <w:tcW w:w="576" w:type="dxa"/>
            <w:noWrap w:val="0"/>
            <w:vAlign w:val="center"/>
          </w:tcPr>
          <w:p w14:paraId="00FDA1C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18.5</w:t>
            </w:r>
            <w:r>
              <w:rPr>
                <w:rFonts w:ascii="Times New Roman" w:hAnsi="Times New Roman" w:eastAsia="方正仿宋_GBK" w:cs="Tahoma"/>
                <w:color w:val="auto"/>
                <w:sz w:val="18"/>
                <w:szCs w:val="18"/>
              </w:rPr>
              <w:fldChar w:fldCharType="end"/>
            </w:r>
          </w:p>
        </w:tc>
        <w:tc>
          <w:tcPr>
            <w:tcW w:w="601" w:type="dxa"/>
            <w:noWrap w:val="0"/>
            <w:vAlign w:val="center"/>
          </w:tcPr>
          <w:p w14:paraId="0F86678E">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9.4</w:t>
            </w:r>
            <w:r>
              <w:rPr>
                <w:rFonts w:ascii="Times New Roman" w:hAnsi="Times New Roman" w:eastAsia="方正仿宋_GBK" w:cs="Tahoma"/>
                <w:color w:val="auto"/>
                <w:sz w:val="18"/>
                <w:szCs w:val="18"/>
              </w:rPr>
              <w:fldChar w:fldCharType="end"/>
            </w:r>
          </w:p>
        </w:tc>
        <w:tc>
          <w:tcPr>
            <w:tcW w:w="599" w:type="dxa"/>
            <w:noWrap w:val="0"/>
            <w:vAlign w:val="center"/>
          </w:tcPr>
          <w:p w14:paraId="1601BC80">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w:instrText>
            </w:r>
            <w:r>
              <w:rPr>
                <w:rFonts w:hint="eastAsia" w:ascii="Times New Roman" w:hAnsi="Times New Roman" w:eastAsia="方正仿宋_GBK" w:cs="Tahoma"/>
                <w:color w:val="auto"/>
                <w:sz w:val="18"/>
                <w:szCs w:val="18"/>
              </w:rPr>
              <w:instrText xml:space="preserve">=SUM(ABOVE)</w:instrText>
            </w:r>
            <w:r>
              <w:rPr>
                <w:rFonts w:ascii="Times New Roman" w:hAnsi="Times New Roman" w:eastAsia="方正仿宋_GBK" w:cs="Tahoma"/>
                <w:color w:val="auto"/>
                <w:sz w:val="18"/>
                <w:szCs w:val="18"/>
              </w:rPr>
              <w:instrText xml:space="preser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0.0</w:t>
            </w:r>
            <w:r>
              <w:rPr>
                <w:rFonts w:ascii="Times New Roman" w:hAnsi="Times New Roman" w:eastAsia="方正仿宋_GBK" w:cs="Tahoma"/>
                <w:color w:val="auto"/>
                <w:sz w:val="18"/>
                <w:szCs w:val="18"/>
              </w:rPr>
              <w:fldChar w:fldCharType="end"/>
            </w:r>
          </w:p>
        </w:tc>
        <w:tc>
          <w:tcPr>
            <w:tcW w:w="599" w:type="dxa"/>
            <w:noWrap w:val="0"/>
            <w:vAlign w:val="center"/>
          </w:tcPr>
          <w:p w14:paraId="51A2DE61">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-9.4</w:t>
            </w:r>
            <w:r>
              <w:rPr>
                <w:rFonts w:ascii="Times New Roman" w:hAnsi="Times New Roman" w:eastAsia="方正仿宋_GBK" w:cs="Tahoma"/>
                <w:color w:val="auto"/>
                <w:sz w:val="18"/>
                <w:szCs w:val="18"/>
              </w:rPr>
              <w:fldChar w:fldCharType="end"/>
            </w:r>
          </w:p>
        </w:tc>
        <w:tc>
          <w:tcPr>
            <w:tcW w:w="593" w:type="dxa"/>
            <w:noWrap w:val="0"/>
            <w:vAlign w:val="center"/>
          </w:tcPr>
          <w:p w14:paraId="47FB9302">
            <w:pPr>
              <w:keepNext w:val="0"/>
              <w:keepLines w:val="0"/>
              <w:pageBreakBefore w:val="0"/>
              <w:widowControl/>
              <w:kinsoku/>
              <w:wordWrap/>
              <w:overflowPunct/>
              <w:topLinePunct w:val="0"/>
              <w:autoSpaceDE/>
              <w:autoSpaceDN/>
              <w:bidi w:val="0"/>
              <w:adjustRightInd/>
              <w:snapToGrid w:val="0"/>
              <w:spacing w:before="0" w:beforeLines="0" w:after="0" w:afterLines="0" w:line="260" w:lineRule="exact"/>
              <w:ind w:left="0" w:leftChars="0" w:right="0" w:rightChars="0" w:firstLine="0" w:firstLineChars="0"/>
              <w:jc w:val="center"/>
              <w:textAlignment w:val="auto"/>
              <w:outlineLvl w:val="9"/>
              <w:rPr>
                <w:rFonts w:ascii="Times New Roman" w:hAnsi="Times New Roman" w:eastAsia="方正仿宋_GBK" w:cs="Tahoma"/>
                <w:color w:val="auto"/>
                <w:sz w:val="18"/>
                <w:szCs w:val="18"/>
              </w:rPr>
            </w:pPr>
            <w:r>
              <w:rPr>
                <w:rFonts w:ascii="Times New Roman" w:hAnsi="Times New Roman" w:eastAsia="方正仿宋_GBK" w:cs="Tahoma"/>
                <w:color w:val="auto"/>
                <w:sz w:val="18"/>
                <w:szCs w:val="18"/>
              </w:rPr>
              <w:fldChar w:fldCharType="begin"/>
            </w:r>
            <w:r>
              <w:rPr>
                <w:rFonts w:ascii="Times New Roman" w:hAnsi="Times New Roman" w:eastAsia="方正仿宋_GBK" w:cs="Tahoma"/>
                <w:color w:val="auto"/>
                <w:sz w:val="18"/>
                <w:szCs w:val="18"/>
              </w:rPr>
              <w:instrText xml:space="preserve"> =SUM(ABOVE) </w:instrText>
            </w:r>
            <w:r>
              <w:rPr>
                <w:rFonts w:ascii="Times New Roman" w:hAnsi="Times New Roman" w:eastAsia="方正仿宋_GBK" w:cs="Tahoma"/>
                <w:color w:val="auto"/>
                <w:sz w:val="18"/>
                <w:szCs w:val="18"/>
              </w:rPr>
              <w:fldChar w:fldCharType="separate"/>
            </w:r>
            <w:r>
              <w:rPr>
                <w:rFonts w:ascii="Times New Roman" w:hAnsi="Times New Roman" w:eastAsia="方正仿宋_GBK" w:cs="Tahoma"/>
                <w:color w:val="auto"/>
                <w:sz w:val="18"/>
                <w:szCs w:val="18"/>
              </w:rPr>
              <w:t>-18.5</w:t>
            </w:r>
            <w:r>
              <w:rPr>
                <w:rFonts w:ascii="Times New Roman" w:hAnsi="Times New Roman" w:eastAsia="方正仿宋_GBK" w:cs="Tahoma"/>
                <w:color w:val="auto"/>
                <w:sz w:val="18"/>
                <w:szCs w:val="18"/>
              </w:rPr>
              <w:fldChar w:fldCharType="end"/>
            </w:r>
          </w:p>
        </w:tc>
      </w:tr>
    </w:tbl>
    <w:p w14:paraId="1C3FB2A3">
      <w:pPr>
        <w:shd w:val="clear" w:color="auto" w:fill="FFFFFF"/>
        <w:rPr>
          <w:rFonts w:ascii="Times New Roman" w:hAnsi="Times New Roman" w:eastAsia="方正黑体_GBK" w:cs="Times New Roman"/>
          <w:sz w:val="32"/>
          <w:szCs w:val="20"/>
        </w:rPr>
      </w:pPr>
      <w:r>
        <w:rPr>
          <w:rFonts w:hint="eastAsia" w:ascii="Times New Roman" w:hAnsi="Times New Roman" w:eastAsia="宋体" w:cs="Times New Roman"/>
          <w:sz w:val="30"/>
          <w:szCs w:val="30"/>
          <w:lang w:eastAsia="zh-CN"/>
        </w:rPr>
        <w:br w:type="page"/>
      </w:r>
      <w:r>
        <w:rPr>
          <w:rFonts w:hint="eastAsia" w:ascii="Times New Roman" w:hAnsi="Times New Roman" w:eastAsia="方正黑体_GBK" w:cs="Times New Roman"/>
          <w:sz w:val="32"/>
          <w:szCs w:val="20"/>
        </w:rPr>
        <w:t>附件</w:t>
      </w:r>
      <w:r>
        <w:rPr>
          <w:rFonts w:hint="eastAsia" w:ascii="Times New Roman" w:hAnsi="Times New Roman" w:eastAsia="方正黑体_GBK" w:cs="Times New Roman"/>
          <w:sz w:val="32"/>
          <w:szCs w:val="20"/>
          <w:lang w:val="en-US" w:eastAsia="zh-CN"/>
        </w:rPr>
        <w:t>4</w:t>
      </w:r>
    </w:p>
    <w:p w14:paraId="052C0A03">
      <w:pPr>
        <w:keepNext w:val="0"/>
        <w:keepLines w:val="0"/>
        <w:pageBreakBefore w:val="0"/>
        <w:widowControl w:val="0"/>
        <w:kinsoku/>
        <w:wordWrap/>
        <w:overflowPunct/>
        <w:topLinePunct w:val="0"/>
        <w:autoSpaceDE/>
        <w:autoSpaceDN/>
        <w:bidi w:val="0"/>
        <w:adjustRightInd w:val="0"/>
        <w:snapToGrid w:val="0"/>
        <w:spacing w:before="0" w:beforeLines="0" w:after="0" w:afterLines="0" w:line="600" w:lineRule="exact"/>
        <w:ind w:left="0" w:leftChars="0" w:right="0" w:rightChars="0" w:firstLine="0" w:firstLineChars="0"/>
        <w:jc w:val="center"/>
        <w:textAlignment w:val="auto"/>
        <w:outlineLvl w:val="9"/>
        <w:rPr>
          <w:rFonts w:ascii="Times New Roman" w:hAnsi="Times New Roman" w:eastAsia="方正仿宋_GBK" w:cs="Times New Roman"/>
          <w:sz w:val="32"/>
          <w:szCs w:val="20"/>
        </w:rPr>
      </w:pPr>
      <w:r>
        <w:rPr>
          <w:rFonts w:hint="eastAsia" w:ascii="Times New Roman" w:hAnsi="Times New Roman" w:eastAsia="方正小标宋_GBK" w:cs="Times New Roman"/>
          <w:sz w:val="44"/>
          <w:szCs w:val="44"/>
        </w:rPr>
        <w:t>长寿区城区各类用地土地级别和基准地价图</w:t>
      </w:r>
    </w:p>
    <w:p w14:paraId="1A45889F">
      <w:pPr>
        <w:shd w:val="clear" w:color="auto" w:fill="FFFFFF"/>
        <w:jc w:val="center"/>
        <w:rPr>
          <w:rFonts w:ascii="Times New Roman" w:hAnsi="Times New Roman" w:eastAsia="方正仿宋_GBK" w:cs="Times New Roman"/>
          <w:sz w:val="32"/>
          <w:szCs w:val="20"/>
        </w:rPr>
      </w:pPr>
      <w:r>
        <w:rPr>
          <w:rFonts w:ascii="Times New Roman" w:hAnsi="Times New Roman" w:eastAsia="方正仿宋_GBK" w:cs="Times New Roman"/>
          <w:sz w:val="32"/>
          <w:szCs w:val="20"/>
        </w:rPr>
        <w:drawing>
          <wp:anchor distT="0" distB="0" distL="114300" distR="114300" simplePos="0" relativeHeight="251659264" behindDoc="0" locked="0" layoutInCell="1" allowOverlap="1">
            <wp:simplePos x="0" y="0"/>
            <wp:positionH relativeFrom="margin">
              <wp:posOffset>217170</wp:posOffset>
            </wp:positionH>
            <wp:positionV relativeFrom="paragraph">
              <wp:posOffset>140970</wp:posOffset>
            </wp:positionV>
            <wp:extent cx="5105400" cy="6810375"/>
            <wp:effectExtent l="0" t="0" r="0" b="9525"/>
            <wp:wrapTopAndBottom/>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8"/>
                    <a:stretch>
                      <a:fillRect/>
                    </a:stretch>
                  </pic:blipFill>
                  <pic:spPr>
                    <a:xfrm>
                      <a:off x="0" y="0"/>
                      <a:ext cx="5105400" cy="6810375"/>
                    </a:xfrm>
                    <a:prstGeom prst="rect">
                      <a:avLst/>
                    </a:prstGeom>
                    <a:noFill/>
                    <a:ln>
                      <a:noFill/>
                    </a:ln>
                  </pic:spPr>
                </pic:pic>
              </a:graphicData>
            </a:graphic>
          </wp:anchor>
        </w:drawing>
      </w:r>
      <w:r>
        <w:rPr>
          <w:rFonts w:ascii="Times New Roman" w:hAnsi="Times New Roman" w:eastAsia="方正仿宋_GBK" w:cs="Times New Roman"/>
          <w:sz w:val="32"/>
          <w:szCs w:val="20"/>
        </w:rPr>
        <w:br w:type="page"/>
      </w:r>
      <w:r>
        <w:rPr>
          <w:rFonts w:ascii="Times New Roman" w:hAnsi="Times New Roman" w:eastAsia="方正仿宋_GBK" w:cs="Times New Roman"/>
          <w:sz w:val="32"/>
          <w:szCs w:val="20"/>
        </w:rPr>
        <w:drawing>
          <wp:anchor distT="0" distB="0" distL="114300" distR="114300" simplePos="0" relativeHeight="251660288" behindDoc="0" locked="0" layoutInCell="1" allowOverlap="1">
            <wp:simplePos x="0" y="0"/>
            <wp:positionH relativeFrom="column">
              <wp:align>center</wp:align>
            </wp:positionH>
            <wp:positionV relativeFrom="paragraph">
              <wp:posOffset>387350</wp:posOffset>
            </wp:positionV>
            <wp:extent cx="5095875" cy="7200265"/>
            <wp:effectExtent l="0" t="0" r="9525" b="635"/>
            <wp:wrapTopAndBottom/>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9"/>
                    <a:stretch>
                      <a:fillRect/>
                    </a:stretch>
                  </pic:blipFill>
                  <pic:spPr>
                    <a:xfrm>
                      <a:off x="0" y="0"/>
                      <a:ext cx="5095875" cy="7200265"/>
                    </a:xfrm>
                    <a:prstGeom prst="rect">
                      <a:avLst/>
                    </a:prstGeom>
                    <a:noFill/>
                    <a:ln>
                      <a:noFill/>
                    </a:ln>
                  </pic:spPr>
                </pic:pic>
              </a:graphicData>
            </a:graphic>
          </wp:anchor>
        </w:drawing>
      </w:r>
      <w:r>
        <w:rPr>
          <w:rFonts w:ascii="Times New Roman" w:hAnsi="Times New Roman" w:eastAsia="方正仿宋_GBK" w:cs="Times New Roman"/>
          <w:sz w:val="32"/>
          <w:szCs w:val="20"/>
        </w:rPr>
        <w:br w:type="page"/>
      </w:r>
    </w:p>
    <w:p w14:paraId="086560E6">
      <w:pPr>
        <w:pBdr>
          <w:bottom w:val="single" w:color="auto" w:sz="6" w:space="1"/>
        </w:pBdr>
        <w:shd w:val="clear" w:color="auto" w:fill="FFFFFF"/>
        <w:jc w:val="center"/>
        <w:rPr>
          <w:rFonts w:ascii="Times New Roman" w:hAnsi="Times New Roman" w:eastAsia="方正仿宋_GBK" w:cs="Times New Roman"/>
          <w:sz w:val="32"/>
          <w:szCs w:val="20"/>
        </w:rPr>
      </w:pPr>
      <w:r>
        <w:rPr>
          <w:rFonts w:ascii="Times New Roman" w:hAnsi="Times New Roman" w:eastAsia="方正仿宋_GBK" w:cs="Times New Roman"/>
          <w:sz w:val="32"/>
          <w:szCs w:val="20"/>
        </w:rPr>
        <w:drawing>
          <wp:inline distT="0" distB="0" distL="114300" distR="114300">
            <wp:extent cx="5095875" cy="7200265"/>
            <wp:effectExtent l="0" t="0" r="9525" b="6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5095875" cy="7200265"/>
                    </a:xfrm>
                    <a:prstGeom prst="rect">
                      <a:avLst/>
                    </a:prstGeom>
                    <a:noFill/>
                    <a:ln>
                      <a:noFill/>
                    </a:ln>
                  </pic:spPr>
                </pic:pic>
              </a:graphicData>
            </a:graphic>
          </wp:inline>
        </w:drawing>
      </w:r>
    </w:p>
    <w:p w14:paraId="654F9928">
      <w:pPr>
        <w:pBdr>
          <w:bottom w:val="single" w:color="auto" w:sz="6" w:space="1"/>
        </w:pBdr>
        <w:shd w:val="clear" w:color="auto" w:fill="FFFFFF"/>
        <w:jc w:val="center"/>
        <w:rPr>
          <w:rFonts w:hint="eastAsia"/>
          <w:lang w:val="en-US" w:eastAsia="zh-CN"/>
        </w:rPr>
      </w:pPr>
      <w:r>
        <w:rPr>
          <w:rFonts w:ascii="Times New Roman" w:hAnsi="Times New Roman" w:eastAsia="方正仿宋_GBK" w:cs="Times New Roman"/>
          <w:sz w:val="32"/>
          <w:szCs w:val="20"/>
        </w:rPr>
        <w:br w:type="page"/>
      </w:r>
      <w:r>
        <w:rPr>
          <w:rFonts w:ascii="Times New Roman" w:hAnsi="Times New Roman" w:eastAsia="方正仿宋_GBK" w:cs="Times New Roman"/>
          <w:sz w:val="32"/>
          <w:szCs w:val="20"/>
        </w:rPr>
        <w:drawing>
          <wp:anchor distT="0" distB="0" distL="114300" distR="114300" simplePos="0" relativeHeight="251661312" behindDoc="0" locked="0" layoutInCell="1" allowOverlap="1">
            <wp:simplePos x="0" y="0"/>
            <wp:positionH relativeFrom="margin">
              <wp:posOffset>358775</wp:posOffset>
            </wp:positionH>
            <wp:positionV relativeFrom="paragraph">
              <wp:posOffset>99695</wp:posOffset>
            </wp:positionV>
            <wp:extent cx="5095875" cy="7200265"/>
            <wp:effectExtent l="0" t="0" r="9525" b="635"/>
            <wp:wrapTopAndBottom/>
            <wp:docPr id="1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pic:cNvPicPr>
                      <a:picLocks noChangeAspect="1"/>
                    </pic:cNvPicPr>
                  </pic:nvPicPr>
                  <pic:blipFill>
                    <a:blip r:embed="rId11"/>
                    <a:stretch>
                      <a:fillRect/>
                    </a:stretch>
                  </pic:blipFill>
                  <pic:spPr>
                    <a:xfrm>
                      <a:off x="0" y="0"/>
                      <a:ext cx="5095875" cy="7200265"/>
                    </a:xfrm>
                    <a:prstGeom prst="rect">
                      <a:avLst/>
                    </a:prstGeom>
                    <a:noFill/>
                    <a:ln>
                      <a:noFill/>
                    </a:ln>
                  </pic:spPr>
                </pic:pic>
              </a:graphicData>
            </a:graphic>
          </wp:anchor>
        </w:drawing>
      </w:r>
    </w:p>
    <w:sectPr>
      <w:headerReference r:id="rId3" w:type="default"/>
      <w:footerReference r:id="rId4"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ADC8B">
    <w:pPr>
      <w:pStyle w:val="8"/>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F3413">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8EF3413">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542C4B3B">
    <w:pPr>
      <w:pStyle w:val="8"/>
      <w:wordWrap w:val="0"/>
      <w:ind w:left="3786" w:leftChars="1803" w:firstLine="7398" w:firstLineChars="2312"/>
      <w:jc w:val="righ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color w:val="FAFAFA"/>
        <w:sz w:val="32"/>
        <w:lang w:val="en-US" w:eastAsia="zh-CN"/>
      </w:rPr>
      <w:t xml:space="preserve"> </w:t>
    </w:r>
    <w:r>
      <w:rPr>
        <w:rFonts w:hint="eastAsia" w:ascii="宋体" w:hAnsi="宋体" w:eastAsia="宋体" w:cs="宋体"/>
        <w:b/>
        <w:bCs/>
        <w:color w:val="005192"/>
        <w:sz w:val="28"/>
        <w:szCs w:val="44"/>
        <w:lang w:val="en-US" w:eastAsia="zh-Hans"/>
      </w:rPr>
      <w:t>重庆市长寿区人民政府</w:t>
    </w:r>
    <w:r>
      <w:rPr>
        <w:rFonts w:hint="eastAsia" w:ascii="宋体" w:hAnsi="宋体" w:eastAsia="宋体" w:cs="宋体"/>
        <w:b/>
        <w:bCs/>
        <w:color w:val="005192"/>
        <w:sz w:val="28"/>
        <w:szCs w:val="44"/>
        <w:lang w:eastAsia="zh-CN"/>
      </w:rPr>
      <w:t>办公室</w:t>
    </w:r>
    <w:r>
      <w:rPr>
        <w:rFonts w:hint="eastAsia" w:ascii="宋体" w:hAnsi="宋体" w:eastAsia="宋体" w:cs="宋体"/>
        <w:b/>
        <w:bCs/>
        <w:color w:val="005192"/>
        <w:sz w:val="28"/>
        <w:szCs w:val="44"/>
        <w:lang w:val="en-US" w:eastAsia="zh-CN"/>
      </w:rPr>
      <w:t xml:space="preserve">发布  </w:t>
    </w:r>
  </w:p>
  <w:p w14:paraId="5EE1C950">
    <w:pPr>
      <w:pStyle w:val="8"/>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2A2F1">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themeColor="text1"/>
        <w:sz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54.35pt;height:0pt;width:442.55pt;z-index:251659264;mso-width-relative:page;mso-height-relative:page;" filled="f" stroked="t" coordsize="21600,21600" o:gfxdata="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UygW1AAAAAkBAAAPAAAAAAAAAAEAIAAAACIAAABkcnMvZG93bnJldi54bWxQSwECFAAUAAAA&#10;CACHTuJABe67HvIBAAC9AwAADgAAAAAAAAABACAAAAAjAQAAZHJzL2Uyb0RvYy54bWxQSwUGAAAA&#10;AAYABgBZAQAAhwUAAAAA&#10;">
              <v:fill on="f" focussize="0,0"/>
              <v:stroke weight="1.75pt" color="#005192 [3204]" miterlimit="8" joinstyle="miter"/>
              <v:imagedata o:title=""/>
              <o:lock v:ext="edit" aspectratio="f"/>
            </v:line>
          </w:pict>
        </mc:Fallback>
      </mc:AlternateContent>
    </w:r>
  </w:p>
  <w:p w14:paraId="4BE7AF5D">
    <w:pPr>
      <w:pStyle w:val="8"/>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Hans"/>
      </w:rPr>
      <w:t>重庆市长寿区人民政府行政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9E71BD"/>
    <w:rsid w:val="041C42DA"/>
    <w:rsid w:val="04B679C3"/>
    <w:rsid w:val="05F07036"/>
    <w:rsid w:val="062E6483"/>
    <w:rsid w:val="06E00104"/>
    <w:rsid w:val="080F63D8"/>
    <w:rsid w:val="09341458"/>
    <w:rsid w:val="098254C2"/>
    <w:rsid w:val="0A766EDE"/>
    <w:rsid w:val="0AD64BE8"/>
    <w:rsid w:val="0B0912D7"/>
    <w:rsid w:val="0BE70077"/>
    <w:rsid w:val="0E025194"/>
    <w:rsid w:val="152D2DCA"/>
    <w:rsid w:val="187168EA"/>
    <w:rsid w:val="196673CA"/>
    <w:rsid w:val="1A6D1382"/>
    <w:rsid w:val="1B2F4AEE"/>
    <w:rsid w:val="1CF734C9"/>
    <w:rsid w:val="1DEC284C"/>
    <w:rsid w:val="1E6523AC"/>
    <w:rsid w:val="22440422"/>
    <w:rsid w:val="22BB4BBB"/>
    <w:rsid w:val="2AEB3417"/>
    <w:rsid w:val="31A15F24"/>
    <w:rsid w:val="324A1681"/>
    <w:rsid w:val="36FB1DF0"/>
    <w:rsid w:val="37AE19D4"/>
    <w:rsid w:val="395347B5"/>
    <w:rsid w:val="39A232A0"/>
    <w:rsid w:val="39E745AA"/>
    <w:rsid w:val="3B5A6BBB"/>
    <w:rsid w:val="3B7F3B41"/>
    <w:rsid w:val="3EDA13A6"/>
    <w:rsid w:val="417B75E9"/>
    <w:rsid w:val="42F058B7"/>
    <w:rsid w:val="436109F6"/>
    <w:rsid w:val="441A38D4"/>
    <w:rsid w:val="4504239D"/>
    <w:rsid w:val="46271A29"/>
    <w:rsid w:val="4BC77339"/>
    <w:rsid w:val="4C9236C5"/>
    <w:rsid w:val="4E250A85"/>
    <w:rsid w:val="4E862B4A"/>
    <w:rsid w:val="4FFD4925"/>
    <w:rsid w:val="505C172E"/>
    <w:rsid w:val="506405EA"/>
    <w:rsid w:val="52F46F0B"/>
    <w:rsid w:val="532B6A10"/>
    <w:rsid w:val="53D8014D"/>
    <w:rsid w:val="55E064E0"/>
    <w:rsid w:val="572C6D10"/>
    <w:rsid w:val="5B8D42E2"/>
    <w:rsid w:val="5DC34279"/>
    <w:rsid w:val="5FCD688E"/>
    <w:rsid w:val="5FF9BDAA"/>
    <w:rsid w:val="608816D1"/>
    <w:rsid w:val="60EF4E7F"/>
    <w:rsid w:val="62857768"/>
    <w:rsid w:val="648B0A32"/>
    <w:rsid w:val="65A31A8A"/>
    <w:rsid w:val="665233C1"/>
    <w:rsid w:val="69AC0D42"/>
    <w:rsid w:val="6AD9688B"/>
    <w:rsid w:val="6D0E3F22"/>
    <w:rsid w:val="744E4660"/>
    <w:rsid w:val="753355A2"/>
    <w:rsid w:val="759F1C61"/>
    <w:rsid w:val="769F2DE8"/>
    <w:rsid w:val="76FDEB7C"/>
    <w:rsid w:val="79C65162"/>
    <w:rsid w:val="79DF5361"/>
    <w:rsid w:val="7C9011D9"/>
    <w:rsid w:val="7DC651C5"/>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3">
    <w:name w:val="macro"/>
    <w:qFormat/>
    <w:uiPriority w:val="0"/>
    <w:pPr>
      <w:snapToGrid w:val="0"/>
      <w:jc w:val="center"/>
    </w:pPr>
    <w:rPr>
      <w:rFonts w:ascii="Times New Roman" w:hAnsi="Times New Roman" w:eastAsia="仿宋" w:cs="Tahoma"/>
      <w:color w:val="000000"/>
      <w:sz w:val="18"/>
      <w:szCs w:val="18"/>
    </w:r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bCs/>
    </w:rPr>
  </w:style>
  <w:style w:type="paragraph" w:customStyle="1" w:styleId="13">
    <w:name w:val="p0"/>
    <w:basedOn w:val="1"/>
    <w:qFormat/>
    <w:uiPriority w:val="0"/>
    <w:pPr>
      <w:widowControl/>
    </w:pPr>
    <w:rPr>
      <w:rFonts w:ascii="Calibri" w:hAnsi="Calibri" w:eastAsia="宋体" w:cs="宋体"/>
      <w:kern w:val="0"/>
      <w:szCs w:val="32"/>
    </w:rPr>
  </w:style>
  <w:style w:type="character" w:customStyle="1" w:styleId="14">
    <w:name w:val="ca-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6921</Words>
  <Characters>7227</Characters>
  <Lines>1</Lines>
  <Paragraphs>1</Paragraphs>
  <TotalTime>8</TotalTime>
  <ScaleCrop>false</ScaleCrop>
  <LinksUpToDate>false</LinksUpToDate>
  <CharactersWithSpaces>7278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2021-09-10T18:41:00Z</dcterms:created>
  <dc:creator>t</dc:creator>
  <cp:lastModifiedBy>CY</cp:lastModifiedBy>
  <cp:lastPrinted>2022-05-11T16:46:00Z</cp:lastPrinted>
  <dcterms:modified xsi:type="dcterms:W3CDTF">2024-12-20T02:27:05Z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48C61CB29D3F4D9384F5922CF0F7FFB4</vt:lpwstr>
  </property>
</Properties>
</file>