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关于印发长寿区2022年高层建筑消防安全</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firstLine="1760" w:firstLineChars="400"/>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综合治理工作方案的通知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长寿府办发〔2022〕40号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各街道办事处、镇人民政府，区政府有关部门，有关单位：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《长寿区</w:t>
      </w:r>
      <w:r>
        <w:rPr>
          <w:rFonts w:hint="eastAsia" w:ascii="Times New Roman" w:hAnsi="Times New Roman" w:eastAsia="方正仿宋_GBK" w:cs="Times New Roman"/>
          <w:sz w:val="32"/>
          <w:szCs w:val="20"/>
        </w:rPr>
        <w:t>2022</w:t>
      </w:r>
      <w:r>
        <w:rPr>
          <w:rFonts w:hint="eastAsia" w:ascii="方正仿宋_GBK" w:hAnsi="Times New Roman" w:eastAsia="方正仿宋_GBK" w:cs="Times New Roman"/>
          <w:sz w:val="32"/>
          <w:szCs w:val="32"/>
        </w:rPr>
        <w:t>年高层建筑消防安全综合治理工作方案》已经</w:t>
      </w:r>
      <w:r>
        <w:rPr>
          <w:rFonts w:hint="eastAsia" w:ascii="方正仿宋_GBK" w:hAnsi="方正仿宋_GBK" w:eastAsia="方正仿宋_GBK" w:cs="方正仿宋_GBK"/>
          <w:sz w:val="32"/>
          <w:szCs w:val="32"/>
        </w:rPr>
        <w:t>区政府第十九届第</w:t>
      </w:r>
      <w:r>
        <w:rPr>
          <w:rFonts w:hint="eastAsia" w:ascii="Times New Roman" w:hAnsi="Times New Roman" w:eastAsia="方正仿宋_GBK" w:cs="Times New Roman"/>
          <w:sz w:val="32"/>
          <w:szCs w:val="20"/>
        </w:rPr>
        <w:t>13</w:t>
      </w:r>
      <w:r>
        <w:rPr>
          <w:rFonts w:hint="eastAsia" w:ascii="方正仿宋_GBK" w:hAnsi="方正仿宋_GBK" w:eastAsia="方正仿宋_GBK" w:cs="方正仿宋_GBK"/>
          <w:sz w:val="32"/>
          <w:szCs w:val="32"/>
        </w:rPr>
        <w:t>次常务会议审定通过</w:t>
      </w:r>
      <w:r>
        <w:rPr>
          <w:rFonts w:hint="eastAsia" w:ascii="方正仿宋_GBK" w:hAnsi="Times New Roman" w:eastAsia="方正仿宋_GBK" w:cs="Times New Roman"/>
          <w:sz w:val="32"/>
          <w:szCs w:val="32"/>
        </w:rPr>
        <w:t>，现印发给你们，请认真贯彻执行。</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4320" w:firstLineChars="135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重庆市长寿区人民政府办公室</w:t>
      </w:r>
    </w:p>
    <w:p>
      <w:pPr>
        <w:keepNext w:val="0"/>
        <w:keepLines w:val="0"/>
        <w:pageBreakBefore w:val="0"/>
        <w:shd w:val="clear" w:color="auto" w:fill="FFFFFF"/>
        <w:kinsoku/>
        <w:wordWrap/>
        <w:overflowPunct/>
        <w:topLinePunct w:val="0"/>
        <w:autoSpaceDE/>
        <w:autoSpaceDN/>
        <w:bidi w:val="0"/>
        <w:adjustRightInd/>
        <w:snapToGrid/>
        <w:spacing w:line="600" w:lineRule="exact"/>
        <w:ind w:right="840" w:rightChars="400"/>
        <w:jc w:val="righ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20"/>
        </w:rPr>
        <w:t>2022</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20"/>
        </w:rPr>
        <w:t>5</w:t>
      </w:r>
      <w:r>
        <w:rPr>
          <w:rFonts w:hint="eastAsia" w:ascii="方正仿宋_GBK" w:hAnsi="Times New Roman" w:eastAsia="方正仿宋_GBK" w:cs="Times New Roman"/>
          <w:sz w:val="32"/>
          <w:szCs w:val="32"/>
        </w:rPr>
        <w:t>月</w:t>
      </w:r>
      <w:r>
        <w:rPr>
          <w:rFonts w:hint="eastAsia" w:ascii="Times New Roman" w:hAnsi="Times New Roman" w:eastAsia="方正仿宋_GBK" w:cs="Times New Roman"/>
          <w:sz w:val="32"/>
          <w:szCs w:val="20"/>
        </w:rPr>
        <w:t>8</w:t>
      </w:r>
      <w:r>
        <w:rPr>
          <w:rFonts w:hint="eastAsia" w:ascii="方正仿宋_GBK"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（此件公开发布）</w:t>
      </w:r>
    </w:p>
    <w:p>
      <w:pPr>
        <w:keepNext w:val="0"/>
        <w:keepLines w:val="0"/>
        <w:pageBreakBefore w:val="0"/>
        <w:widowControl/>
        <w:kinsoku/>
        <w:wordWrap/>
        <w:overflowPunct/>
        <w:topLinePunct w:val="0"/>
        <w:autoSpaceDE/>
        <w:autoSpaceDN/>
        <w:bidi w:val="0"/>
        <w:adjustRightInd/>
        <w:snapToGrid/>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_GBK"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长寿区2022年高层建筑消防安全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综合治理工作方案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仿宋_GBK"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为进一步提升全区高层建筑抗御火灾风险能力，持续巩固高层建筑消防安全治理成效，根据《重庆市人民政府办公厅关于印发重庆市2022年高层建筑消防安全综合治理工作方案的通知》（渝府办发〔</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45</w:t>
      </w:r>
      <w:r>
        <w:rPr>
          <w:rFonts w:hint="eastAsia" w:ascii="方正仿宋_GBK" w:hAnsi="Times New Roman" w:eastAsia="方正仿宋_GBK" w:cs="Times New Roman"/>
          <w:sz w:val="32"/>
          <w:szCs w:val="32"/>
        </w:rPr>
        <w:t>号），制定本方案。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（一）指导思想。</w:t>
      </w:r>
      <w:r>
        <w:rPr>
          <w:rFonts w:hint="eastAsia" w:ascii="方正仿宋_GBK" w:hAnsi="Times New Roman" w:eastAsia="方正仿宋_GBK" w:cs="Times New Roman"/>
          <w:sz w:val="32"/>
          <w:szCs w:val="32"/>
        </w:rPr>
        <w:t>以习近平新时代中国特色社会主义思想为指导，全面贯彻党的十九大和十九届历次全会精神，认真贯彻习近平总书记关于推进应急管理体系和能力现代化的重要讲话精神，深化落实习近平总书记对重庆提出的营造良好政治生态，坚持“两点”定位、“两地”“两高”目标、发挥“三个作用”和推动成渝地区双城经济圈建设等重要指示要求，坚持“政府主导、部门指导、单位主责、综合治理、标本兼治”原则，扎实开展高层建筑消防安全综合治理工作，有效预防和遏制高层建筑重特大火灾事故发生，进一步提升全区高层建筑消防安全管理水平，确保全区消防安全形势持续稳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20"/>
        </w:rPr>
      </w:pPr>
      <w:r>
        <w:rPr>
          <w:rFonts w:hint="eastAsia" w:ascii="方正楷体_GBK" w:hAnsi="Times New Roman" w:eastAsia="方正楷体_GBK" w:cs="Times New Roman"/>
          <w:sz w:val="32"/>
          <w:szCs w:val="32"/>
        </w:rPr>
        <w:t>（二）工作目标。</w:t>
      </w:r>
      <w:r>
        <w:rPr>
          <w:rFonts w:hint="eastAsia" w:ascii="Times New Roman" w:hAnsi="Times New Roman" w:eastAsia="方正仿宋_GBK" w:cs="Times New Roman"/>
          <w:sz w:val="32"/>
          <w:szCs w:val="20"/>
        </w:rPr>
        <w:t>紧盯高层建筑消防安全治理薄弱环节，坚持问题导向、目标导向、底线思维、系统思维，开展高层建筑消防安全“三深化、四巩固、三提升”行动，持续整治消防安全重点问题，巩固综合治理成效。健全长效工作机制，推动高层建筑消防安全管理逐步实现法制化、标准化、数字化，提升高层建筑消防安全治理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二、工作任务</w:t>
      </w:r>
    </w:p>
    <w:p>
      <w:pPr>
        <w:keepNext w:val="0"/>
        <w:keepLines w:val="0"/>
        <w:pageBreakBefore w:val="0"/>
        <w:kinsoku/>
        <w:wordWrap/>
        <w:overflowPunct/>
        <w:topLinePunct w:val="0"/>
        <w:autoSpaceDE/>
        <w:autoSpaceDN/>
        <w:bidi w:val="0"/>
        <w:adjustRightInd/>
        <w:snapToGrid/>
        <w:spacing w:line="600" w:lineRule="exact"/>
        <w:ind w:firstLine="800" w:firstLineChars="25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（一）深化“三项整治”。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深化建筑消防设施隐患整治。持续开展消防用水问题整治，对前期整改完毕的高层建筑消防用水问题开展“回头看”，重点排查消防供水功能是否正常，日常维护保养是否落实，发现隐患整治不彻底的，责成立即整改。对滚动排查出的消防用水、火灾自动报警、自动灭火、防烟排烟等消防设施隐患问题，区分轻重缓急，制定年度计划和整改方案，落实整治责任、资金和防范措施，由区政府与属地街镇、 责任单位逐级签订责任书，逐小区逐楼栋开展整治。对整改资金落实困难的老旧高层建筑，统筹纳入老旧小区改造，分批分步按期推进整改。构成重大火灾隐患的，采取挂牌督办、 警示约谈、集中曝光等方式督促整改。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深化“生命通道”重点区域整治。动态更新占用、堵塞消防车通道严重的小区（道路）综合整治任务清单，“一区域一对策”制定整治方案，明确整治责任、时间和措施，推动占用、堵塞消防车通道严重的小区（道路）开展重点整治攻坚，确保逐个销号。按照消防车通道、消防车登高操作场地标识应设必设要求，由管理单位全面施划完善；无明确管理单位的由街镇组织设置。加强停车位规划建设管理，将综合整治的小区（道路）纳入城市停车设施发展和中心城区路网更新重点，改造小区公共区域，挖掘停车资源，加快扩建新建停车设施，增设停车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深化用电用气隐患整治。组织供电供气企业对前期排查发现的电气、燃气隐患问题整治情况开展清理，对未整治完毕的，建立隐患问题清单，逐项整改销号；对问题集中的小区，由牵头部门实施综合治理，推动整改落实。发动物业服务企业开展电气隐患排查，</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6</w:t>
      </w:r>
      <w:r>
        <w:rPr>
          <w:rFonts w:hint="eastAsia" w:ascii="方正仿宋_GBK" w:hAnsi="Times New Roman" w:eastAsia="方正仿宋_GBK" w:cs="Times New Roman"/>
          <w:sz w:val="32"/>
          <w:szCs w:val="32"/>
        </w:rPr>
        <w:t>月底前，完成责任范围内其他管沟与电力燃气设施间距不足、电气线路老旧破损、超负荷运行等问题整治。供电供气企业按照居民用户和非居民用户检查计划，强化电力线路、燃气管线检查，及时发现和处置消防安全隐患，同时定期开展宣传教育，提供指导服务。依法查处私拉乱接电气线路、违规改装电动自行车、电动自行车违规存放充电等违法行为。推广采用智能化手段，防止电动自行车进入电梯、楼道。新改、扩建电动自行车集中停放和充电区域，引导电动自行车规范停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（二）巩固“四项机制”。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1.巩固可燃雨棚和突出外墙防护网整改防范机制。落实街镇属地管理和区级部门属事管理责任，组织开展高层建筑可燃雨棚和突出外墙防护网整治“回头看”，对遗留隐患问题，在</w:t>
      </w:r>
      <w:r>
        <w:rPr>
          <w:rFonts w:hint="eastAsia"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月底前登记造册，</w:t>
      </w:r>
      <w:r>
        <w:rPr>
          <w:rFonts w:hint="eastAsia" w:ascii="Times New Roman" w:hAnsi="Times New Roman" w:eastAsia="方正仿宋_GBK" w:cs="Times New Roman"/>
          <w:sz w:val="32"/>
          <w:szCs w:val="32"/>
        </w:rPr>
        <w:t>6</w:t>
      </w:r>
      <w:r>
        <w:rPr>
          <w:rFonts w:hint="eastAsia" w:ascii="方正仿宋_GBK" w:hAnsi="Times New Roman" w:eastAsia="方正仿宋_GBK" w:cs="Times New Roman"/>
          <w:sz w:val="32"/>
          <w:szCs w:val="32"/>
        </w:rPr>
        <w:t>月底前整改完毕。将可燃雨棚和突出外墙防护网整治纳入市容环境提升、老旧小区改造重点内容，有序推进多层建筑整改。巩固完善日常防范制度，推动物业服务企业切实履行发现、劝阻、报告违规搭建可燃雨棚、突出外墙防护网等行为以及宣传教育职责，发挥日常安全管理前哨作用。持续加强雨棚和防护网生产、销售、安装等环节的管控，健全完善相关产品标准和管理规范，开展产品年度抽检和综合执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2.巩固隐患滚动排查机制。推广“街镇吹哨、部门报到”模式，建立以街镇为基本单元，消防救援、城市管理、住房城乡建设、公安、经济信息等部门指导参与的隐患滚动排查整治机制。结合日常安全检查和专项排查工作，实时掌握辖区高层建筑底数，摸排消防设施、“生命通道”、可燃雨棚和突出外墙防护网、用电用气、安全管理等情况，定期组织住宅小区开展“三查三清”（检查消防车道、疏散楼梯、安全出口是否畅通，检查防火门、灭火器、应急照明和疏散指示标志是否完好有效，检查是否违规施工、违章动火动焊、违规存放易燃易爆危险品；清理楼梯间、前室、疏散走道，清理可燃雨棚、防盗网，清理违章搭建）。 </w:t>
      </w:r>
      <w:r>
        <w:rPr>
          <w:rFonts w:hint="eastAsia"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hint="eastAsia" w:ascii="方正仿宋_GBK" w:hAnsi="Times New Roman" w:eastAsia="方正仿宋_GBK" w:cs="Times New Roman"/>
          <w:sz w:val="32"/>
          <w:szCs w:val="32"/>
        </w:rPr>
        <w:t>月底前，按照“单位自查、街镇普查、部门联査、专业核查”的原则，组织对辖区高层建筑再开展一轮全面摸排， 并建立完善新的基础台账和隐患整改责任清单，推动隐患整改工作落实。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巩固消防设施质量管控和维护管理机制。强化整改工程质量管理，承担整改工程设计、施工的单位应具有相应资质等级，鼓励聘请有资质的监理单位进行工程监理。实施整改质量保修制度，明确不少于两年的整改保修期限。强化联合验收，整改后由街镇牵头组织验收，相关部门、物业服务企业和业主代表参与，验收资料应收集整理并及时归档备查。强化后续维护管理，消防设施隐患整改完毕的高层建筑，必须逐栋明确日常管理单位和维护保养单位。对老旧小区或无统一管理的，由政府指定日常管理单位；对政府资金投入改造且无统一管理的，鼓励采取购买服务方式加强后续维护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4.巩固联合执法和联动响应机制。进一步落实“生命 通道”监管执法长效机制和严格执法管理要求，健全完善会商研判、联合执法、信息共享机制，常态化开展联合执法，在重点时段、重点区域开展集中执法，保持整治高压态势。持续开展整治曝光行动，对公务车辆占用消防车通道的，对相关责任人依法依规处理。巩固完善“绿波带保畅”联动机制，深化公安、消防警情联动响应机制，通过交通管制、车辆分流、拖离清障、优化信号灯配时、骁骑伴护等措施，确保救援畅通无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（三）提升“三项能力”。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提升消防安全管理能力。高层建筑逐栋明确消防安全管理单位和消防设施维护保养单位，高层公共建筑逐栋明确消防安全管理人、高层住宅建筑逐栋明确楼栋长，落实消防控制室双人持证上岗制度，规范防火巡查检查、消防设施维护保养工作，并在显著位置公示。将高层建筑消防安全风险排查纳入网格化管理重点，在街镇依法开展委托执法，督促指导对隐患及时整改。选取典型高层建筑打造消防管理示范标杆，组织召开标准化管理现场会，推行达标创建活动。探索高层建筑实施分级分类差异化监管，将消防管理能力纳入物业服务企业评级评星考核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提升居民防灾应急能力。将“自觉维护建筑消防设施”“畅通生命通道”等内容纳入全民普法范畴。依托“全民消防安全学习云平台”，精准开展消防教育培训。鼓励为老旧小区高层建筑安装独立式火灾报警探测装置，指导居民家庭制定火灾疏散逃生计划。高层住宅小区全年至少开展1次疏散逃生演练，推广购买火灾惠民保险。在高层公共建筑、高层住宅小区建设微型消防站，提升初起火灾的处置能力。开展高层建筑居民消防安全素质调查，掌握全民防灾自救能力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3.提升政策法规保障能力。贯彻落实《重庆市消防设施管理规定》，提升物业服务企业、消防服务机构消防设施日常管理和维护保养水平。</w:t>
      </w:r>
      <w:r>
        <w:rPr>
          <w:rFonts w:ascii="方正仿宋_GBK" w:hAnsi="Times New Roman" w:eastAsia="方正仿宋_GBK" w:cs="Times New Roman"/>
          <w:sz w:val="32"/>
          <w:szCs w:val="32"/>
        </w:rPr>
        <w:t>结合市级层面即将</w:t>
      </w:r>
      <w:r>
        <w:rPr>
          <w:rFonts w:hint="eastAsia" w:ascii="方正仿宋_GBK" w:hAnsi="Times New Roman" w:eastAsia="方正仿宋_GBK" w:cs="Times New Roman"/>
          <w:sz w:val="32"/>
          <w:szCs w:val="32"/>
        </w:rPr>
        <w:t>出台的《建筑消防设施维护管理技术规程》，规范消防设施日常管理和维护保养；结合</w:t>
      </w:r>
      <w:r>
        <w:rPr>
          <w:rFonts w:ascii="方正仿宋_GBK" w:hAnsi="Times New Roman" w:eastAsia="方正仿宋_GBK" w:cs="Times New Roman"/>
          <w:sz w:val="32"/>
          <w:szCs w:val="32"/>
        </w:rPr>
        <w:t>市级层面</w:t>
      </w:r>
      <w:r>
        <w:rPr>
          <w:rFonts w:hint="eastAsia" w:ascii="方正仿宋_GBK" w:hAnsi="Times New Roman" w:eastAsia="方正仿宋_GBK" w:cs="Times New Roman"/>
          <w:sz w:val="32"/>
          <w:szCs w:val="32"/>
        </w:rPr>
        <w:t>即将修订的《消防安全管理标识》，对消防车通道、消防车登高操作场地提出更加符合本地实际的消防安全标识化管理要求。运用高层建筑消防安全自查指南和日常检查指引，落实物业服务企业等管理单位主体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三、保障措施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（一）加强组织领导</w:t>
      </w:r>
      <w:r>
        <w:rPr>
          <w:rFonts w:hint="eastAsia" w:ascii="方正仿宋_GBK" w:hAnsi="Times New Roman" w:eastAsia="方正仿宋_GBK" w:cs="Times New Roman"/>
          <w:sz w:val="32"/>
          <w:szCs w:val="32"/>
        </w:rPr>
        <w:t>。长寿区高层建筑消防安全综合治理工作领导小组(以下简称领导小组)负责统筹开展全区</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高层建筑消防安全综合治理相关工作。全区各级各有关部门要坚持“党政同责、一岗双责"，深刻吸取重大火灾事故教训，高度重视高层建筑消防安全工作，逐级分解任务、逐一压实责任、逐项明确进度，确保各项工作落实到位。高层建筑管理单位要履行消防安全主体责任，健全完善管理制度，强化提升管理水平，确保各项工作落实落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（二）合力共管共治。</w:t>
      </w:r>
      <w:r>
        <w:rPr>
          <w:rFonts w:hint="eastAsia" w:ascii="方正仿宋_GBK" w:hAnsi="Times New Roman" w:eastAsia="方正仿宋_GBK" w:cs="Times New Roman"/>
          <w:sz w:val="32"/>
          <w:szCs w:val="32"/>
        </w:rPr>
        <w:t>全区各级各有关部门要各司其职、各尽其责，持续加强会商研判、联合执法、信息共享，充分发挥协同作用，形成齐抓共管治理格局。要认真梳理总结高层建筑消防安全综合治理工作经验，对梳理出来的隐患问题要一抓到底，切实防范化解风险隐患，杜绝纸面整治、数据整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Times New Roman" w:eastAsia="方正楷体_GBK" w:cs="Times New Roman"/>
          <w:sz w:val="32"/>
          <w:szCs w:val="32"/>
        </w:rPr>
        <w:t>（三）强化督导问效。</w:t>
      </w:r>
      <w:r>
        <w:rPr>
          <w:rFonts w:hint="eastAsia" w:ascii="方正仿宋_GBK" w:hAnsi="Times New Roman" w:eastAsia="方正仿宋_GBK" w:cs="Times New Roman"/>
          <w:sz w:val="32"/>
          <w:szCs w:val="32"/>
        </w:rPr>
        <w:t>区级有关部门和有关单位要落实监管责任，加强对街镇的督促指导。区督</w:t>
      </w:r>
      <w:r>
        <w:rPr>
          <w:rFonts w:hint="eastAsia" w:ascii="方正仿宋_GBK" w:hAnsi="Times New Roman" w:eastAsia="方正仿宋_GBK" w:cs="Times New Roman"/>
          <w:sz w:val="32"/>
          <w:szCs w:val="32"/>
          <w:lang w:eastAsia="zh-CN"/>
        </w:rPr>
        <w:t>察</w:t>
      </w:r>
      <w:r>
        <w:rPr>
          <w:rFonts w:hint="eastAsia" w:ascii="方正仿宋_GBK" w:hAnsi="Times New Roman" w:eastAsia="方正仿宋_GBK" w:cs="Times New Roman"/>
          <w:sz w:val="32"/>
          <w:szCs w:val="32"/>
        </w:rPr>
        <w:t>部门要建立督办推进台账，按照“定事、定责、定时、定人”的要求，每月扫描阶段任务完成情况，定期开展明查暗访，将整治工作纳入政务督办范围，对工作不力、问题突出的及时给予通报批评。对辖区高层建筑发生亡人火灾或造成较大社会影响的，要按照火灾事故责任延伸调查程序，依法追究有关部门、单位和个人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本方案自公布之日起施行。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w:t>
      </w:r>
      <w:r>
        <w:rPr>
          <w:rFonts w:ascii="Times New Roman" w:hAnsi="Times New Roman" w:eastAsia="方正仿宋_GBK" w:cs="Times New Roman"/>
          <w:sz w:val="32"/>
          <w:szCs w:val="32"/>
        </w:rPr>
        <w:t>1</w:t>
      </w:r>
      <w:r>
        <w:rPr>
          <w:rFonts w:hint="eastAsia" w:ascii="方正仿宋_GBK" w:hAnsi="Times New Roman" w:eastAsia="方正仿宋_GBK" w:cs="Times New Roman"/>
          <w:sz w:val="32"/>
          <w:szCs w:val="32"/>
        </w:rPr>
        <w:t>.长寿区高层建筑消防安全综合治理工作领导小组成员名单</w:t>
      </w:r>
    </w:p>
    <w:p>
      <w:pPr>
        <w:keepNext w:val="0"/>
        <w:keepLines w:val="0"/>
        <w:pageBreakBefore w:val="0"/>
        <w:kinsoku/>
        <w:wordWrap/>
        <w:overflowPunct/>
        <w:topLinePunct w:val="0"/>
        <w:autoSpaceDE/>
        <w:autoSpaceDN/>
        <w:bidi w:val="0"/>
        <w:adjustRightInd/>
        <w:snapToGrid/>
        <w:spacing w:line="600" w:lineRule="exact"/>
        <w:ind w:left="1596" w:leftChars="760" w:firstLine="0" w:firstLineChars="0"/>
        <w:jc w:val="left"/>
        <w:textAlignment w:val="auto"/>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.长寿区</w:t>
      </w:r>
      <w:r>
        <w:rPr>
          <w:rFonts w:ascii="Times New Roman" w:hAnsi="Times New Roman" w:eastAsia="方正仿宋_GBK" w:cs="Times New Roman"/>
          <w:sz w:val="32"/>
          <w:szCs w:val="32"/>
        </w:rPr>
        <w:t>2022</w:t>
      </w:r>
      <w:r>
        <w:rPr>
          <w:rFonts w:hint="eastAsia" w:ascii="方正仿宋_GBK" w:hAnsi="Times New Roman" w:eastAsia="方正仿宋_GBK" w:cs="Times New Roman"/>
          <w:sz w:val="32"/>
          <w:szCs w:val="32"/>
        </w:rPr>
        <w:t>年</w:t>
      </w:r>
      <w:r>
        <w:rPr>
          <w:rFonts w:ascii="方正仿宋_GBK" w:hAnsi="Times New Roman" w:eastAsia="方正仿宋_GBK" w:cs="Times New Roman"/>
          <w:sz w:val="32"/>
          <w:szCs w:val="32"/>
        </w:rPr>
        <w:t>高层建筑消防</w:t>
      </w:r>
      <w:r>
        <w:rPr>
          <w:rFonts w:hint="eastAsia" w:ascii="方正仿宋_GBK" w:hAnsi="Times New Roman" w:eastAsia="方正仿宋_GBK" w:cs="Times New Roman"/>
          <w:sz w:val="32"/>
          <w:szCs w:val="32"/>
        </w:rPr>
        <w:t>安全</w:t>
      </w:r>
      <w:r>
        <w:rPr>
          <w:rFonts w:ascii="方正仿宋_GBK" w:hAnsi="Times New Roman" w:eastAsia="方正仿宋_GBK" w:cs="Times New Roman"/>
          <w:sz w:val="32"/>
          <w:szCs w:val="32"/>
        </w:rPr>
        <w:t>综合治理重点</w:t>
      </w:r>
      <w:r>
        <w:rPr>
          <w:rFonts w:hint="eastAsia" w:ascii="方正仿宋_GBK" w:hAnsi="Times New Roman" w:eastAsia="方正仿宋_GBK" w:cs="Times New Roman"/>
          <w:sz w:val="32"/>
          <w:szCs w:val="32"/>
        </w:rPr>
        <w:t>任务</w:t>
      </w:r>
      <w:r>
        <w:rPr>
          <w:rFonts w:ascii="方正仿宋_GBK" w:hAnsi="Times New Roman" w:eastAsia="方正仿宋_GBK" w:cs="Times New Roman"/>
          <w:sz w:val="32"/>
          <w:szCs w:val="32"/>
        </w:rPr>
        <w:t>分解</w:t>
      </w:r>
    </w:p>
    <w:p>
      <w:pPr>
        <w:keepNext w:val="0"/>
        <w:keepLines w:val="0"/>
        <w:pageBreakBefore w:val="0"/>
        <w:kinsoku/>
        <w:wordWrap/>
        <w:overflowPunct/>
        <w:topLinePunct w:val="0"/>
        <w:autoSpaceDE/>
        <w:autoSpaceDN/>
        <w:bidi w:val="0"/>
        <w:adjustRightInd/>
        <w:snapToGrid/>
        <w:spacing w:line="600" w:lineRule="exact"/>
        <w:textAlignment w:val="auto"/>
        <w:rPr>
          <w:rFonts w:ascii="方正黑体_GBK" w:hAnsi="黑体" w:eastAsia="方正黑体_GBK" w:cs="Times New Roman"/>
          <w:sz w:val="32"/>
          <w:szCs w:val="32"/>
        </w:rPr>
      </w:pPr>
      <w:r>
        <w:rPr>
          <w:rFonts w:ascii="方正仿宋_GBK" w:hAnsi="Times New Roman" w:eastAsia="方正仿宋_GBK" w:cs="Times New Roman"/>
          <w:sz w:val="32"/>
          <w:szCs w:val="32"/>
        </w:rPr>
        <w:br w:type="page"/>
      </w:r>
      <w:r>
        <w:rPr>
          <w:rFonts w:hint="eastAsia" w:ascii="方正黑体_GBK" w:hAnsi="黑体" w:eastAsia="方正黑体_GBK" w:cs="Times New Roman"/>
          <w:sz w:val="32"/>
          <w:szCs w:val="32"/>
        </w:rPr>
        <w:t>附件1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长寿区高层建筑消防安全</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综合治理工作领导小组成员名单</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黑体_GBK" w:hAnsi="黑体" w:eastAsia="方正黑体_GBK" w:cs="Times New Roman"/>
          <w:sz w:val="32"/>
          <w:szCs w:val="32"/>
        </w:rPr>
        <w:t>组      长：</w:t>
      </w:r>
      <w:r>
        <w:rPr>
          <w:rFonts w:hint="eastAsia" w:ascii="方正仿宋_GBK" w:hAnsi="Times New Roman" w:eastAsia="方正仿宋_GBK" w:cs="Times New Roman"/>
          <w:snapToGrid w:val="0"/>
          <w:kern w:val="0"/>
          <w:sz w:val="32"/>
          <w:szCs w:val="32"/>
        </w:rPr>
        <w:t>卓大林    区政府常务副区长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黑体_GBK" w:hAnsi="黑体" w:eastAsia="方正黑体_GBK" w:cs="Times New Roman"/>
          <w:sz w:val="32"/>
          <w:szCs w:val="32"/>
        </w:rPr>
        <w:t>副  组  长：</w:t>
      </w:r>
      <w:r>
        <w:rPr>
          <w:rFonts w:hint="eastAsia" w:ascii="方正仿宋_GBK" w:hAnsi="Times New Roman" w:eastAsia="方正仿宋_GBK" w:cs="Times New Roman"/>
          <w:snapToGrid w:val="0"/>
          <w:kern w:val="0"/>
          <w:sz w:val="32"/>
          <w:szCs w:val="32"/>
        </w:rPr>
        <w:t>涂  庆    区政府副区长，区公安局局长</w:t>
      </w:r>
    </w:p>
    <w:p>
      <w:pPr>
        <w:keepNext w:val="0"/>
        <w:keepLines w:val="0"/>
        <w:pageBreakBefore w:val="0"/>
        <w:kinsoku/>
        <w:wordWrap/>
        <w:overflowPunct/>
        <w:topLinePunct w:val="0"/>
        <w:autoSpaceDE/>
        <w:autoSpaceDN/>
        <w:bidi w:val="0"/>
        <w:adjustRightInd/>
        <w:snapToGrid/>
        <w:spacing w:line="600" w:lineRule="exact"/>
        <w:ind w:firstLine="3200" w:firstLineChars="1000"/>
        <w:textAlignment w:val="auto"/>
        <w:rPr>
          <w:rFonts w:ascii="方正仿宋_GBK" w:hAnsi="仿宋_GB2312" w:eastAsia="方正仿宋_GBK" w:cs="宋体"/>
          <w:snapToGrid w:val="0"/>
          <w:color w:val="000000"/>
          <w:kern w:val="0"/>
          <w:sz w:val="32"/>
          <w:szCs w:val="32"/>
        </w:rPr>
      </w:pPr>
      <w:r>
        <w:rPr>
          <w:rFonts w:hint="eastAsia" w:ascii="方正仿宋_GBK" w:hAnsi="Times New Roman" w:eastAsia="方正仿宋_GBK" w:cs="Times New Roman"/>
          <w:snapToGrid w:val="0"/>
          <w:kern w:val="0"/>
          <w:sz w:val="32"/>
          <w:szCs w:val="32"/>
        </w:rPr>
        <w:t>邹翔名    区政府副区长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黑体_GBK" w:hAnsi="黑体" w:eastAsia="方正黑体_GBK" w:cs="Times New Roman"/>
          <w:sz w:val="32"/>
          <w:szCs w:val="32"/>
        </w:rPr>
        <w:t>成      员：</w:t>
      </w:r>
      <w:r>
        <w:rPr>
          <w:rFonts w:hint="eastAsia" w:ascii="方正仿宋_GBK" w:hAnsi="Times New Roman" w:eastAsia="方正仿宋_GBK" w:cs="Times New Roman"/>
          <w:snapToGrid w:val="0"/>
          <w:kern w:val="0"/>
          <w:sz w:val="32"/>
          <w:szCs w:val="32"/>
        </w:rPr>
        <w:t>姚  建    区政府电子政务中心副主任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张光勇    区委宣传部副部长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张  涛    区发展改革委主任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张新明    区教委主任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彭长龙    区经济信息委主任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罗玉平    区公安局副局长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李  佳    区民政局局长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邹楚蕾    区司法局局长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黄  勇    区财政局局长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戚谊熙    区规划自然资源局局长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唐贤明    区住房城乡建委主任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刘  勇    区城市管理局局长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刘兴波    区商务委主任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杨洪梅    区文化旅游委主任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余  建    区卫生健康委主任</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华一兵    区应急局局长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赵  欣    区市场监管局局长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张  灿    区大数据发展局局长</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 xml:space="preserve">            王跃平    区消防救援支队支队长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领导小组办公室设在区消防救援支队，承担领导小组日常工作。由王跃平同志兼任办公室主任，区经济信息委、区公安局、区规划自然资源局、区住房城乡建委、区城市管理局、区商务委、区应急局、区消防救援支队分管负责人为办公室成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spacing w:line="600" w:lineRule="exact"/>
        <w:rPr>
          <w:rFonts w:hint="eastAsia" w:ascii="方正黑体_GBK" w:eastAsia="方正黑体_GBK"/>
          <w:sz w:val="32"/>
          <w:szCs w:val="32"/>
        </w:rPr>
      </w:pPr>
      <w:r>
        <w:rPr>
          <w:rFonts w:hint="eastAsia" w:ascii="方正黑体_GBK" w:eastAsia="方正黑体_GBK"/>
          <w:sz w:val="32"/>
          <w:szCs w:val="32"/>
        </w:rPr>
        <w:t>附件2</w:t>
      </w:r>
    </w:p>
    <w:p>
      <w:pPr>
        <w:pStyle w:val="2"/>
      </w:pPr>
    </w:p>
    <w:p>
      <w:pPr>
        <w:pStyle w:val="16"/>
        <w:spacing w:after="0" w:line="600" w:lineRule="exact"/>
        <w:rPr>
          <w:rFonts w:hint="eastAsia" w:ascii="方正小标宋_GBK" w:eastAsia="方正小标宋_GBK"/>
          <w:color w:val="000000"/>
          <w:sz w:val="44"/>
          <w:szCs w:val="44"/>
          <w:lang w:eastAsia="zh-CN"/>
        </w:rPr>
      </w:pPr>
      <w:r>
        <w:rPr>
          <w:rFonts w:hint="eastAsia" w:ascii="方正小标宋_GBK" w:eastAsia="方正小标宋_GBK"/>
          <w:color w:val="000000"/>
          <w:sz w:val="44"/>
          <w:szCs w:val="44"/>
          <w:lang w:eastAsia="zh-CN"/>
        </w:rPr>
        <w:t>长寿区2022年</w:t>
      </w:r>
      <w:r>
        <w:rPr>
          <w:rFonts w:hint="eastAsia" w:ascii="方正小标宋_GBK" w:eastAsia="方正小标宋_GBK"/>
          <w:color w:val="000000"/>
          <w:sz w:val="44"/>
          <w:szCs w:val="44"/>
        </w:rPr>
        <w:t>高层建筑消防</w:t>
      </w:r>
      <w:r>
        <w:rPr>
          <w:rFonts w:hint="eastAsia" w:ascii="方正小标宋_GBK" w:eastAsia="方正小标宋_GBK"/>
          <w:color w:val="000000"/>
          <w:sz w:val="44"/>
          <w:szCs w:val="44"/>
          <w:lang w:eastAsia="zh-CN"/>
        </w:rPr>
        <w:t>安全</w:t>
      </w:r>
    </w:p>
    <w:p>
      <w:pPr>
        <w:pStyle w:val="16"/>
        <w:spacing w:after="0" w:line="600" w:lineRule="exact"/>
        <w:rPr>
          <w:rFonts w:hint="eastAsia" w:ascii="方正小标宋_GBK" w:eastAsia="方正小标宋_GBK"/>
          <w:color w:val="000000"/>
          <w:sz w:val="44"/>
          <w:szCs w:val="44"/>
        </w:rPr>
      </w:pPr>
      <w:r>
        <w:rPr>
          <w:rFonts w:hint="eastAsia" w:ascii="方正小标宋_GBK" w:eastAsia="方正小标宋_GBK"/>
          <w:color w:val="000000"/>
          <w:sz w:val="44"/>
          <w:szCs w:val="44"/>
        </w:rPr>
        <w:t>综合治理重点任务分解</w:t>
      </w:r>
    </w:p>
    <w:p>
      <w:pPr>
        <w:pStyle w:val="16"/>
        <w:spacing w:after="0" w:line="600" w:lineRule="exact"/>
        <w:rPr>
          <w:rFonts w:hint="eastAsia" w:ascii="方正小标宋_GBK" w:eastAsia="方正小标宋_GBK"/>
          <w:color w:val="000000"/>
          <w:sz w:val="44"/>
          <w:szCs w:val="44"/>
        </w:rPr>
      </w:pP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1371"/>
        <w:gridCol w:w="1179"/>
        <w:gridCol w:w="5582"/>
        <w:gridCol w:w="16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485" w:hRule="exact"/>
          <w:jc w:val="center"/>
        </w:trPr>
        <w:tc>
          <w:tcPr>
            <w:tcW w:w="1371"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专项行动</w:t>
            </w:r>
          </w:p>
        </w:tc>
        <w:tc>
          <w:tcPr>
            <w:tcW w:w="117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工作任务</w:t>
            </w: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 作 内 容</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1156" w:hRule="exact"/>
          <w:jc w:val="center"/>
        </w:trPr>
        <w:tc>
          <w:tcPr>
            <w:tcW w:w="1371" w:type="dxa"/>
            <w:vMerge w:val="restart"/>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sz w:val="22"/>
                <w:szCs w:val="22"/>
                <w:lang w:eastAsia="zh-CN"/>
              </w:rPr>
            </w:pPr>
            <w:r>
              <w:rPr>
                <w:rFonts w:hint="eastAsia" w:ascii="方正仿宋_GBK" w:eastAsia="方正仿宋_GBK"/>
                <w:color w:val="000000"/>
                <w:sz w:val="24"/>
                <w:szCs w:val="24"/>
                <w:lang w:eastAsia="zh-CN"/>
              </w:rPr>
              <w:t>深化</w:t>
            </w:r>
            <w:r>
              <w:rPr>
                <w:rFonts w:hint="eastAsia" w:ascii="方正仿宋_GBK" w:eastAsia="方正仿宋_GBK"/>
                <w:color w:val="000000"/>
                <w:sz w:val="24"/>
                <w:szCs w:val="24"/>
              </w:rPr>
              <w:t>建筑消防设施</w:t>
            </w:r>
            <w:r>
              <w:rPr>
                <w:rFonts w:hint="eastAsia" w:ascii="方正仿宋_GBK" w:eastAsia="方正仿宋_GBK"/>
                <w:color w:val="000000"/>
                <w:sz w:val="24"/>
                <w:szCs w:val="24"/>
                <w:lang w:eastAsia="zh-CN"/>
              </w:rPr>
              <w:t>隐患</w:t>
            </w:r>
            <w:r>
              <w:rPr>
                <w:rFonts w:hint="eastAsia" w:ascii="方正仿宋_GBK" w:eastAsia="方正仿宋_GBK"/>
                <w:color w:val="000000"/>
                <w:sz w:val="24"/>
                <w:szCs w:val="24"/>
              </w:rPr>
              <w:t>整治</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牵头单位：</w:t>
            </w:r>
            <w:r>
              <w:rPr>
                <w:rFonts w:hint="eastAsia" w:ascii="方正仿宋_GBK" w:eastAsia="方正仿宋_GBK"/>
                <w:color w:val="000000"/>
                <w:sz w:val="24"/>
                <w:szCs w:val="24"/>
                <w:lang w:eastAsia="zh-CN"/>
              </w:rPr>
              <w:t>区</w:t>
            </w:r>
            <w:r>
              <w:rPr>
                <w:rFonts w:hint="eastAsia" w:ascii="方正仿宋_GBK" w:eastAsia="方正仿宋_GBK"/>
                <w:color w:val="000000"/>
                <w:sz w:val="24"/>
                <w:szCs w:val="24"/>
              </w:rPr>
              <w:t>消防救援</w:t>
            </w:r>
            <w:r>
              <w:rPr>
                <w:rFonts w:hint="eastAsia" w:ascii="方正仿宋_GBK" w:eastAsia="方正仿宋_GBK"/>
                <w:color w:val="000000"/>
                <w:sz w:val="24"/>
                <w:szCs w:val="24"/>
                <w:lang w:eastAsia="zh-CN"/>
              </w:rPr>
              <w:t>支</w:t>
            </w:r>
            <w:r>
              <w:rPr>
                <w:rFonts w:hint="eastAsia" w:ascii="方正仿宋_GBK" w:eastAsia="方正仿宋_GBK"/>
                <w:color w:val="000000"/>
                <w:sz w:val="24"/>
                <w:szCs w:val="24"/>
              </w:rPr>
              <w:t>队</w:t>
            </w:r>
            <w:r>
              <w:rPr>
                <w:rFonts w:hint="eastAsia" w:ascii="方正仿宋_GBK" w:eastAsia="方正仿宋_GBK"/>
                <w:color w:val="000000"/>
                <w:sz w:val="24"/>
                <w:szCs w:val="24"/>
                <w:lang w:eastAsia="zh-CN"/>
              </w:rPr>
              <w:t>）</w:t>
            </w:r>
          </w:p>
        </w:tc>
        <w:tc>
          <w:tcPr>
            <w:tcW w:w="117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hint="eastAsia" w:ascii="方正仿宋_GBK" w:eastAsia="方正仿宋_GBK"/>
                <w:color w:val="000000"/>
                <w:sz w:val="24"/>
                <w:szCs w:val="24"/>
              </w:rPr>
              <w:t>持续开展消防用水 问题整治</w:t>
            </w: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hint="eastAsia" w:ascii="方正仿宋_GBK" w:eastAsia="方正仿宋_GBK"/>
                <w:color w:val="000000"/>
                <w:sz w:val="24"/>
                <w:szCs w:val="24"/>
                <w:lang w:bidi="en-US"/>
              </w:rPr>
              <w:t>1.</w:t>
            </w:r>
            <w:r>
              <w:rPr>
                <w:rFonts w:hint="eastAsia" w:ascii="方正仿宋_GBK" w:eastAsia="方正仿宋_GBK"/>
                <w:color w:val="000000"/>
                <w:sz w:val="24"/>
                <w:szCs w:val="24"/>
                <w:lang w:val="en-US"/>
              </w:rPr>
              <w:t>对前期整改完毕的高层建筑消防用水问题开展“回头看”，重点排查消防供水功能是否正常</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日常维护保养是否落实，发现隐患整治不彻底的，责成立即整改。</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相关街镇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1522" w:hRule="exact"/>
          <w:jc w:val="center"/>
        </w:trPr>
        <w:tc>
          <w:tcPr>
            <w:tcW w:w="1371"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7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rPr>
              <w:t>滚动</w:t>
            </w:r>
            <w:bookmarkStart w:id="0" w:name="_GoBack"/>
            <w:r>
              <w:rPr>
                <w:rFonts w:hint="eastAsia" w:ascii="方正仿宋_GBK" w:eastAsia="方正仿宋_GBK"/>
                <w:color w:val="000000"/>
                <w:sz w:val="24"/>
                <w:szCs w:val="24"/>
              </w:rPr>
              <w:t>排</w:t>
            </w:r>
            <w:r>
              <w:rPr>
                <w:rFonts w:hint="eastAsia" w:ascii="方正仿宋_GBK" w:eastAsia="方正仿宋_GBK"/>
                <w:color w:val="000000"/>
                <w:sz w:val="24"/>
                <w:szCs w:val="24"/>
                <w:lang w:eastAsia="zh-CN"/>
              </w:rPr>
              <w:t>查</w:t>
            </w:r>
            <w:r>
              <w:rPr>
                <w:rFonts w:hint="eastAsia" w:ascii="方正仿宋_GBK" w:eastAsia="方正仿宋_GBK"/>
                <w:color w:val="000000"/>
                <w:sz w:val="24"/>
                <w:szCs w:val="24"/>
              </w:rPr>
              <w:t>整治</w:t>
            </w:r>
            <w:bookmarkEnd w:id="0"/>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hint="eastAsia" w:ascii="方正仿宋_GBK" w:eastAsia="方正仿宋_GBK"/>
                <w:color w:val="000000"/>
                <w:sz w:val="24"/>
                <w:szCs w:val="24"/>
                <w:lang w:bidi="en-US"/>
              </w:rPr>
              <w:t>2.</w:t>
            </w:r>
            <w:r>
              <w:rPr>
                <w:rFonts w:hint="eastAsia" w:ascii="方正仿宋_GBK" w:eastAsia="方正仿宋_GBK"/>
                <w:color w:val="000000"/>
                <w:sz w:val="24"/>
                <w:szCs w:val="24"/>
                <w:lang w:val="en-US"/>
              </w:rPr>
              <w:t>对滚动排查出的消防用水、火灾自动报警、自动灭火、防烟排烟等消防设施隐患，区分轻重缓急，制定年度计划和</w:t>
            </w:r>
            <w:r>
              <w:rPr>
                <w:rFonts w:hint="eastAsia" w:ascii="方正仿宋_GBK" w:eastAsia="方正仿宋_GBK"/>
                <w:color w:val="000000"/>
                <w:sz w:val="24"/>
                <w:szCs w:val="24"/>
                <w:lang w:val="en-US" w:eastAsia="zh-CN"/>
              </w:rPr>
              <w:t>整改方案，落实</w:t>
            </w:r>
            <w:r>
              <w:rPr>
                <w:rFonts w:hint="eastAsia" w:ascii="方正仿宋_GBK" w:eastAsia="方正仿宋_GBK"/>
                <w:color w:val="000000"/>
                <w:sz w:val="24"/>
                <w:szCs w:val="24"/>
                <w:lang w:val="en-US"/>
              </w:rPr>
              <w:t>整治责任、资金和防范措施，由区政府与属地街镇、责任单位逐级签订责任书，逐小区逐楼栋开展整治。</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val="en-US"/>
              </w:rPr>
              <w:t>各街镇</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住房城乡建委</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lang w:val="en-US"/>
              </w:rPr>
              <w:t>、区开投集团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897" w:hRule="exact"/>
          <w:jc w:val="center"/>
        </w:trPr>
        <w:tc>
          <w:tcPr>
            <w:tcW w:w="1371"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79" w:type="dxa"/>
            <w:vMerge w:val="restart"/>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rPr>
              <w:t>督促隐患整改</w:t>
            </w:r>
          </w:p>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bidi="en-US"/>
              </w:rPr>
              <w:t>3.</w:t>
            </w:r>
            <w:r>
              <w:rPr>
                <w:rFonts w:hint="eastAsia" w:ascii="方正仿宋_GBK" w:eastAsia="方正仿宋_GBK"/>
                <w:color w:val="000000"/>
                <w:sz w:val="24"/>
                <w:szCs w:val="24"/>
                <w:lang w:val="en-US"/>
              </w:rPr>
              <w:t>对整改资金落实困难的老旧高层建筑，统筹纳入老旧小区改造，分批分步按期推进整改。</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879" w:hRule="exact"/>
          <w:jc w:val="center"/>
        </w:trPr>
        <w:tc>
          <w:tcPr>
            <w:tcW w:w="1371"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79"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hAnsi="Times New Roman" w:eastAsia="方正仿宋_GBK" w:cs="Times New Roman"/>
                <w:color w:val="000000"/>
                <w:sz w:val="24"/>
                <w:szCs w:val="24"/>
                <w:lang w:val="en-US" w:eastAsia="zh-CN" w:bidi="en-US"/>
              </w:rPr>
              <w:t>4.</w:t>
            </w:r>
            <w:r>
              <w:rPr>
                <w:rFonts w:hint="eastAsia" w:ascii="方正仿宋_GBK" w:eastAsia="方正仿宋_GBK"/>
                <w:color w:val="000000"/>
                <w:sz w:val="24"/>
                <w:szCs w:val="24"/>
                <w:lang w:val="en-US"/>
              </w:rPr>
              <w:t>构成重大火灾隐患的，采取挂牌督办、警示约谈、集中曝光等方式督促整改</w:t>
            </w:r>
            <w:r>
              <w:rPr>
                <w:rFonts w:hint="eastAsia" w:ascii="方正仿宋_GBK" w:eastAsia="方正仿宋_GBK"/>
                <w:color w:val="000000"/>
                <w:sz w:val="24"/>
                <w:szCs w:val="24"/>
              </w:rPr>
              <w:t>。</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hint="eastAsia" w:ascii="方正仿宋_GBK" w:eastAsia="方正仿宋_GBK"/>
                <w:color w:val="000000"/>
                <w:sz w:val="24"/>
                <w:szCs w:val="24"/>
                <w:lang w:eastAsia="zh-CN"/>
              </w:rPr>
              <w:t>应急局</w:t>
            </w:r>
            <w:r>
              <w:rPr>
                <w:rFonts w:ascii="方正仿宋_GBK" w:eastAsia="方正仿宋_GBK"/>
                <w:color w:val="000000"/>
                <w:sz w:val="24"/>
                <w:szCs w:val="24"/>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1648" w:hRule="atLeast"/>
          <w:jc w:val="center"/>
        </w:trPr>
        <w:tc>
          <w:tcPr>
            <w:tcW w:w="1371" w:type="dxa"/>
            <w:vMerge w:val="restart"/>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sz w:val="22"/>
                <w:szCs w:val="22"/>
              </w:rPr>
            </w:pPr>
            <w:r>
              <w:rPr>
                <w:rFonts w:ascii="方正仿宋_GBK" w:eastAsia="方正仿宋_GBK"/>
                <w:color w:val="000000"/>
                <w:sz w:val="24"/>
                <w:szCs w:val="24"/>
              </w:rPr>
              <w:t>深化“生命通道”</w:t>
            </w:r>
            <w:r>
              <w:rPr>
                <w:rFonts w:hint="eastAsia" w:ascii="方正仿宋_GBK" w:eastAsia="方正仿宋_GBK"/>
                <w:color w:val="000000"/>
                <w:sz w:val="24"/>
                <w:szCs w:val="24"/>
                <w:lang w:eastAsia="zh-CN"/>
              </w:rPr>
              <w:t>重点区域整治</w:t>
            </w:r>
            <w:r>
              <w:rPr>
                <w:rFonts w:ascii="方正仿宋_GBK" w:eastAsia="方正仿宋_GBK"/>
                <w:color w:val="000000"/>
                <w:sz w:val="24"/>
                <w:szCs w:val="24"/>
              </w:rPr>
              <w:t>（牵头单位：</w:t>
            </w:r>
            <w:r>
              <w:rPr>
                <w:rFonts w:hint="eastAsia" w:ascii="方正仿宋_GBK" w:eastAsia="方正仿宋_GBK"/>
                <w:color w:val="000000"/>
                <w:sz w:val="24"/>
                <w:szCs w:val="24"/>
              </w:rPr>
              <w:t>区</w:t>
            </w:r>
            <w:r>
              <w:rPr>
                <w:rFonts w:ascii="方正仿宋_GBK" w:eastAsia="方正仿宋_GBK"/>
                <w:color w:val="000000"/>
                <w:sz w:val="24"/>
                <w:szCs w:val="24"/>
              </w:rPr>
              <w:t>城市管理局）</w:t>
            </w:r>
          </w:p>
        </w:tc>
        <w:tc>
          <w:tcPr>
            <w:tcW w:w="117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强化重点区域挂牌</w:t>
            </w:r>
          </w:p>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整治</w:t>
            </w: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val="en-US" w:eastAsia="zh-CN"/>
              </w:rPr>
              <w:t>5.</w:t>
            </w:r>
            <w:r>
              <w:rPr>
                <w:rFonts w:hint="eastAsia" w:ascii="方正仿宋_GBK" w:eastAsia="方正仿宋_GBK"/>
                <w:color w:val="000000"/>
                <w:sz w:val="24"/>
                <w:szCs w:val="24"/>
                <w:lang w:val="en-US"/>
              </w:rPr>
              <w:t>动态更新占用、堵塞消防车通道严重的小区</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道路</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综合整治任务清单，</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一区域一对策”制定整治方案，明确整治责任、</w:t>
            </w:r>
            <w:r>
              <w:rPr>
                <w:rFonts w:hint="eastAsia" w:ascii="方正仿宋_GBK" w:eastAsia="方正仿宋_GBK"/>
                <w:color w:val="000000"/>
                <w:sz w:val="24"/>
                <w:szCs w:val="24"/>
                <w:lang w:val="en-US" w:eastAsia="zh-CN"/>
              </w:rPr>
              <w:t>时间和措施，实施</w:t>
            </w:r>
            <w:r>
              <w:rPr>
                <w:rFonts w:hint="eastAsia" w:ascii="方正仿宋_GBK" w:eastAsia="方正仿宋_GBK"/>
                <w:color w:val="000000"/>
                <w:sz w:val="24"/>
                <w:szCs w:val="24"/>
                <w:lang w:val="en-US"/>
              </w:rPr>
              <w:t>挂牌</w:t>
            </w:r>
            <w:r>
              <w:rPr>
                <w:rFonts w:hint="eastAsia" w:ascii="方正仿宋_GBK" w:eastAsia="方正仿宋_GBK"/>
                <w:color w:val="000000"/>
                <w:sz w:val="24"/>
                <w:szCs w:val="24"/>
                <w:lang w:val="en-US" w:eastAsia="zh-CN"/>
              </w:rPr>
              <w:t>督办，</w:t>
            </w:r>
            <w:r>
              <w:rPr>
                <w:rFonts w:hint="eastAsia" w:ascii="方正仿宋_GBK" w:eastAsia="方正仿宋_GBK"/>
                <w:color w:val="000000"/>
                <w:sz w:val="24"/>
                <w:szCs w:val="24"/>
                <w:lang w:val="en-US"/>
              </w:rPr>
              <w:t>推动占用、堵塞消防车通道严重的小区</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道路</w:t>
            </w:r>
            <w:r>
              <w:rPr>
                <w:rFonts w:hint="eastAsia" w:ascii="方正仿宋_GBK" w:eastAsia="方正仿宋_GBK"/>
                <w:color w:val="000000"/>
                <w:sz w:val="24"/>
                <w:szCs w:val="24"/>
                <w:lang w:val="en-US" w:eastAsia="zh-CN"/>
              </w:rPr>
              <w:t>）</w:t>
            </w:r>
            <w:r>
              <w:rPr>
                <w:rFonts w:hint="eastAsia" w:ascii="方正仿宋_GBK" w:eastAsia="方正仿宋_GBK"/>
                <w:color w:val="000000"/>
                <w:sz w:val="24"/>
                <w:szCs w:val="24"/>
                <w:lang w:val="en-US"/>
              </w:rPr>
              <w:t>开展重点整治攻坚，确保逐个销号。</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相关街镇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区城市管理局、区公安局</w:t>
            </w:r>
            <w:r>
              <w:rPr>
                <w:rFonts w:ascii="方正仿宋_GBK" w:eastAsia="方正仿宋_GBK"/>
                <w:color w:val="000000"/>
                <w:sz w:val="24"/>
                <w:szCs w:val="24"/>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1286" w:hRule="atLeast"/>
          <w:jc w:val="center"/>
        </w:trPr>
        <w:tc>
          <w:tcPr>
            <w:tcW w:w="1371"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7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规范</w:t>
            </w:r>
            <w:r>
              <w:rPr>
                <w:rFonts w:ascii="方正仿宋_GBK" w:eastAsia="方正仿宋_GBK"/>
                <w:color w:val="000000"/>
                <w:sz w:val="24"/>
                <w:szCs w:val="24"/>
              </w:rPr>
              <w:t>“生命通道”</w:t>
            </w:r>
            <w:r>
              <w:rPr>
                <w:rFonts w:hint="eastAsia" w:ascii="方正仿宋_GBK" w:eastAsia="方正仿宋_GBK"/>
                <w:color w:val="000000"/>
                <w:sz w:val="24"/>
                <w:szCs w:val="24"/>
                <w:lang w:eastAsia="zh-CN"/>
              </w:rPr>
              <w:t>标识</w:t>
            </w:r>
          </w:p>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设置</w:t>
            </w: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6.</w:t>
            </w:r>
            <w:r>
              <w:rPr>
                <w:rFonts w:hint="eastAsia" w:ascii="方正仿宋_GBK" w:eastAsia="方正仿宋_GBK"/>
                <w:color w:val="000000"/>
                <w:sz w:val="24"/>
                <w:szCs w:val="24"/>
                <w:lang w:val="en-US" w:eastAsia="zh-CN"/>
              </w:rPr>
              <w:t>按照消防车通道、消防车登高操作场地标识应设必设要求，由管理单位全面施划完善；无明确管理单位的由街镇组织设置标识。</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各街镇，区消防救援支队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cantSplit/>
          <w:trHeight w:val="90" w:hRule="atLeast"/>
          <w:jc w:val="center"/>
        </w:trPr>
        <w:tc>
          <w:tcPr>
            <w:tcW w:w="1371"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p>
        </w:tc>
        <w:tc>
          <w:tcPr>
            <w:tcW w:w="117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综合解决泊位难题</w:t>
            </w:r>
          </w:p>
        </w:tc>
        <w:tc>
          <w:tcPr>
            <w:tcW w:w="558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val="en-US" w:eastAsia="zh-CN"/>
              </w:rPr>
              <w:t>7.加强停车位规划建设管理，将综合整治的小区（道路）纳入城市停车设施发展和中心城区路网更新重点，改造小区公共区域，挖掘停车资源，加快扩建新建停车设施，增设停车泊位。</w:t>
            </w:r>
          </w:p>
        </w:tc>
        <w:tc>
          <w:tcPr>
            <w:tcW w:w="1660"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lang w:eastAsia="zh-CN"/>
              </w:rPr>
              <w:t>各</w:t>
            </w:r>
            <w:r>
              <w:rPr>
                <w:rFonts w:hint="eastAsia" w:ascii="方正仿宋_GBK" w:eastAsia="方正仿宋_GBK"/>
                <w:color w:val="000000"/>
                <w:sz w:val="24"/>
                <w:szCs w:val="24"/>
                <w:lang w:eastAsia="zh-CN"/>
              </w:rPr>
              <w:t>相关街镇，区城市管理局、区公安局、区</w:t>
            </w:r>
            <w:r>
              <w:rPr>
                <w:rFonts w:ascii="方正仿宋_GBK" w:eastAsia="方正仿宋_GBK"/>
                <w:color w:val="000000"/>
                <w:sz w:val="24"/>
                <w:szCs w:val="24"/>
                <w:lang w:eastAsia="zh-CN"/>
              </w:rPr>
              <w:t>规划自然资源局</w:t>
            </w:r>
            <w:r>
              <w:rPr>
                <w:rFonts w:hint="eastAsia" w:ascii="方正仿宋_GBK" w:eastAsia="方正仿宋_GBK"/>
                <w:color w:val="000000"/>
                <w:sz w:val="24"/>
                <w:szCs w:val="24"/>
                <w:lang w:eastAsia="zh-CN"/>
              </w:rPr>
              <w:t>、区</w:t>
            </w:r>
            <w:r>
              <w:rPr>
                <w:rFonts w:ascii="方正仿宋_GBK" w:eastAsia="方正仿宋_GBK"/>
                <w:color w:val="000000"/>
                <w:sz w:val="24"/>
                <w:szCs w:val="24"/>
                <w:lang w:eastAsia="zh-CN"/>
              </w:rPr>
              <w:t>住房城乡建委</w:t>
            </w:r>
            <w:r>
              <w:rPr>
                <w:rFonts w:hint="eastAsia" w:ascii="方正仿宋_GBK" w:eastAsia="方正仿宋_GBK"/>
                <w:color w:val="000000"/>
                <w:sz w:val="24"/>
                <w:szCs w:val="24"/>
                <w:lang w:eastAsia="zh-CN"/>
              </w:rPr>
              <w:t>、区交通局</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tbl>
      <w:tblPr>
        <w:tblStyle w:val="9"/>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71"/>
        <w:gridCol w:w="1179"/>
        <w:gridCol w:w="4696"/>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1371"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专项行动</w:t>
            </w:r>
          </w:p>
        </w:tc>
        <w:tc>
          <w:tcPr>
            <w:tcW w:w="1179"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工作任务</w:t>
            </w: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 作 内 容</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40" w:hRule="exact"/>
          <w:jc w:val="center"/>
        </w:trPr>
        <w:tc>
          <w:tcPr>
            <w:tcW w:w="1371" w:type="dxa"/>
            <w:vMerge w:val="restart"/>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sz w:val="22"/>
                <w:szCs w:val="22"/>
              </w:rPr>
            </w:pPr>
            <w:r>
              <w:rPr>
                <w:rFonts w:ascii="方正仿宋_GBK" w:eastAsia="方正仿宋_GBK"/>
                <w:color w:val="000000"/>
                <w:sz w:val="24"/>
                <w:szCs w:val="24"/>
                <w:lang w:val="en-US"/>
              </w:rPr>
              <w:t>深化用电用 气专项整治 行动（牵头单位：</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经济信息委）</w:t>
            </w:r>
          </w:p>
          <w:p>
            <w:pPr>
              <w:pStyle w:val="15"/>
              <w:keepNext w:val="0"/>
              <w:keepLines w:val="0"/>
              <w:pageBreakBefore w:val="0"/>
              <w:kinsoku/>
              <w:wordWrap/>
              <w:overflowPunct/>
              <w:topLinePunct w:val="0"/>
              <w:autoSpaceDE/>
              <w:autoSpaceDN/>
              <w:bidi w:val="0"/>
              <w:adjustRightInd/>
              <w:snapToGrid/>
              <w:spacing w:line="240" w:lineRule="exact"/>
              <w:jc w:val="center"/>
              <w:textAlignment w:val="auto"/>
              <w:rPr>
                <w:sz w:val="22"/>
                <w:szCs w:val="22"/>
              </w:rPr>
            </w:pPr>
          </w:p>
        </w:tc>
        <w:tc>
          <w:tcPr>
            <w:tcW w:w="1179"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清单化整治隐患问题</w:t>
            </w: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lang w:val="en-US" w:eastAsia="zh-CN"/>
              </w:rPr>
            </w:pPr>
            <w:r>
              <w:rPr>
                <w:rFonts w:hint="eastAsia" w:ascii="方正仿宋_GBK" w:eastAsia="方正仿宋_GBK"/>
                <w:color w:val="000000"/>
                <w:sz w:val="24"/>
                <w:szCs w:val="24"/>
                <w:lang w:eastAsia="zh-CN"/>
              </w:rPr>
              <w:t>8</w:t>
            </w:r>
            <w:r>
              <w:rPr>
                <w:rFonts w:ascii="方正仿宋_GBK" w:eastAsia="方正仿宋_GBK"/>
                <w:color w:val="000000"/>
                <w:sz w:val="24"/>
                <w:szCs w:val="24"/>
              </w:rPr>
              <w:t>.</w:t>
            </w:r>
            <w:r>
              <w:rPr>
                <w:rFonts w:hint="eastAsia" w:ascii="方正仿宋_GBK" w:eastAsia="方正仿宋_GBK"/>
                <w:color w:val="000000"/>
                <w:sz w:val="24"/>
                <w:szCs w:val="24"/>
                <w:lang w:val="en-US"/>
              </w:rPr>
              <w:t>组织供电供气企业对前期排查发现的</w:t>
            </w:r>
            <w:r>
              <w:rPr>
                <w:rFonts w:hint="eastAsia" w:ascii="方正仿宋_GBK" w:eastAsia="方正仿宋_GBK"/>
                <w:color w:val="000000"/>
                <w:sz w:val="24"/>
                <w:szCs w:val="24"/>
                <w:lang w:val="en-US" w:eastAsia="zh-CN"/>
              </w:rPr>
              <w:t>电</w:t>
            </w:r>
            <w:r>
              <w:rPr>
                <w:rFonts w:hint="eastAsia" w:ascii="方正仿宋_GBK" w:eastAsia="方正仿宋_GBK"/>
                <w:color w:val="000000"/>
                <w:sz w:val="24"/>
                <w:szCs w:val="24"/>
                <w:lang w:val="en-US"/>
              </w:rPr>
              <w:t>气、燃气隐患问题整治情况开展清理，对未整治完毕的，建立隐患问题清单，逐项整改销号；对问题集中的小区，实施综合治理，推动整改落实。</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7" w:hRule="exact"/>
          <w:jc w:val="center"/>
        </w:trPr>
        <w:tc>
          <w:tcPr>
            <w:tcW w:w="1371" w:type="dxa"/>
            <w:vMerge w:val="continue"/>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pPr>
          </w:p>
        </w:tc>
        <w:tc>
          <w:tcPr>
            <w:tcW w:w="1179" w:type="dxa"/>
            <w:vMerge w:val="restart"/>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深化设施排查整治</w:t>
            </w:r>
          </w:p>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ascii="方正仿宋_GBK" w:eastAsia="方正仿宋_GBK"/>
                <w:color w:val="000000"/>
                <w:sz w:val="24"/>
                <w:szCs w:val="24"/>
                <w:lang w:eastAsia="zh-CN"/>
              </w:rPr>
            </w:pP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9</w:t>
            </w:r>
            <w:r>
              <w:rPr>
                <w:rFonts w:ascii="方正仿宋_GBK" w:eastAsia="方正仿宋_GBK"/>
                <w:color w:val="000000"/>
                <w:sz w:val="24"/>
                <w:szCs w:val="24"/>
              </w:rPr>
              <w:t>.</w:t>
            </w:r>
            <w:r>
              <w:rPr>
                <w:rFonts w:hint="eastAsia" w:ascii="方正仿宋_GBK" w:eastAsia="方正仿宋_GBK"/>
                <w:color w:val="000000"/>
                <w:sz w:val="24"/>
                <w:szCs w:val="24"/>
                <w:lang w:val="en-US"/>
              </w:rPr>
              <w:t>发动物业服务企业开展电气隐患排查</w:t>
            </w:r>
            <w:r>
              <w:rPr>
                <w:rFonts w:hint="eastAsia" w:ascii="方正仿宋_GBK" w:eastAsia="方正仿宋_GBK"/>
                <w:color w:val="000000"/>
                <w:sz w:val="24"/>
                <w:szCs w:val="24"/>
                <w:lang w:val="en-US" w:eastAsia="zh-CN"/>
              </w:rPr>
              <w:t>，</w:t>
            </w:r>
            <w:r>
              <w:rPr>
                <w:rFonts w:ascii="Times New Roman" w:hAnsi="Times New Roman" w:eastAsia="方正仿宋_GBK" w:cs="Times New Roman"/>
                <w:color w:val="000000"/>
                <w:sz w:val="24"/>
                <w:szCs w:val="24"/>
                <w:lang w:val="en-US"/>
              </w:rPr>
              <w:t>2022</w:t>
            </w:r>
            <w:r>
              <w:rPr>
                <w:rFonts w:hint="eastAsia" w:ascii="方正仿宋_GBK" w:eastAsia="方正仿宋_GBK"/>
                <w:color w:val="000000"/>
                <w:sz w:val="24"/>
                <w:szCs w:val="24"/>
                <w:lang w:val="en-US"/>
              </w:rPr>
              <w:t>年</w:t>
            </w:r>
            <w:r>
              <w:rPr>
                <w:rFonts w:hint="eastAsia" w:ascii="Times New Roman" w:hAnsi="Times New Roman" w:eastAsia="方正仿宋_GBK" w:cs="Times New Roman"/>
                <w:color w:val="000000"/>
                <w:sz w:val="24"/>
                <w:szCs w:val="24"/>
                <w:lang w:val="en-US"/>
              </w:rPr>
              <w:t>6</w:t>
            </w:r>
            <w:r>
              <w:rPr>
                <w:rFonts w:hint="eastAsia" w:ascii="方正仿宋_GBK" w:eastAsia="方正仿宋_GBK"/>
                <w:color w:val="000000"/>
                <w:sz w:val="24"/>
                <w:szCs w:val="24"/>
                <w:lang w:val="en-US"/>
              </w:rPr>
              <w:t>月底前，完成责任范围内其他管沟与电力燃气设施间距不足、电气线路老旧破损、超负荷运行等问题整治。</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35" w:hRule="exact"/>
          <w:jc w:val="center"/>
        </w:trPr>
        <w:tc>
          <w:tcPr>
            <w:tcW w:w="1371" w:type="dxa"/>
            <w:vMerge w:val="continue"/>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pPr>
          </w:p>
        </w:tc>
        <w:tc>
          <w:tcPr>
            <w:tcW w:w="1179" w:type="dxa"/>
            <w:vMerge w:val="continue"/>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1</w:t>
            </w:r>
            <w:r>
              <w:rPr>
                <w:rFonts w:hint="eastAsia" w:ascii="方正仿宋_GBK" w:eastAsia="方正仿宋_GBK"/>
                <w:color w:val="000000"/>
                <w:sz w:val="24"/>
                <w:szCs w:val="24"/>
                <w:lang w:eastAsia="zh-CN"/>
              </w:rPr>
              <w:t>0</w:t>
            </w:r>
            <w:r>
              <w:rPr>
                <w:rFonts w:ascii="方正仿宋_GBK" w:eastAsia="方正仿宋_GBK"/>
                <w:color w:val="000000"/>
                <w:sz w:val="24"/>
                <w:szCs w:val="24"/>
              </w:rPr>
              <w:t>.</w:t>
            </w:r>
            <w:r>
              <w:rPr>
                <w:rFonts w:hint="eastAsia" w:ascii="方正仿宋_GBK" w:eastAsia="方正仿宋_GBK"/>
                <w:color w:val="000000"/>
                <w:sz w:val="24"/>
                <w:szCs w:val="24"/>
                <w:lang w:val="en-US"/>
              </w:rPr>
              <w:t xml:space="preserve">供电供气企业按照居民用户和非居民检查计划，强化电力线路、燃气管线检查，及时发现和处置消防安全隐患，同时定期开展宣传教育，提供指导服务。 </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2" w:hRule="exact"/>
          <w:jc w:val="center"/>
        </w:trPr>
        <w:tc>
          <w:tcPr>
            <w:tcW w:w="1371" w:type="dxa"/>
            <w:vMerge w:val="continue"/>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center"/>
              <w:textAlignment w:val="auto"/>
              <w:rPr>
                <w:sz w:val="22"/>
                <w:szCs w:val="22"/>
              </w:rPr>
            </w:pPr>
          </w:p>
        </w:tc>
        <w:tc>
          <w:tcPr>
            <w:tcW w:w="1179" w:type="dxa"/>
            <w:vMerge w:val="restart"/>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加强电动自行车管理</w:t>
            </w: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1</w:t>
            </w:r>
            <w:r>
              <w:rPr>
                <w:rFonts w:hint="eastAsia" w:ascii="方正仿宋_GBK" w:eastAsia="方正仿宋_GBK"/>
                <w:color w:val="000000"/>
                <w:sz w:val="24"/>
                <w:szCs w:val="24"/>
                <w:lang w:eastAsia="zh-CN"/>
              </w:rPr>
              <w:t>1</w:t>
            </w:r>
            <w:r>
              <w:rPr>
                <w:rFonts w:ascii="方正仿宋_GBK" w:eastAsia="方正仿宋_GBK"/>
                <w:color w:val="000000"/>
                <w:sz w:val="24"/>
                <w:szCs w:val="24"/>
              </w:rPr>
              <w:t>.</w:t>
            </w:r>
            <w:r>
              <w:rPr>
                <w:rFonts w:hint="eastAsia" w:ascii="方正仿宋_GBK" w:eastAsia="方正仿宋_GBK"/>
                <w:color w:val="000000"/>
                <w:sz w:val="24"/>
                <w:szCs w:val="24"/>
                <w:lang w:val="en-US"/>
              </w:rPr>
              <w:t>依法查处私拉乱接电气线路、违规改</w:t>
            </w:r>
            <w:r>
              <w:rPr>
                <w:rFonts w:hint="eastAsia" w:ascii="方正仿宋_GBK" w:eastAsia="方正仿宋_GBK"/>
                <w:color w:val="000000"/>
                <w:sz w:val="24"/>
                <w:szCs w:val="24"/>
                <w:lang w:val="en-US" w:eastAsia="zh-CN"/>
              </w:rPr>
              <w:t>装</w:t>
            </w:r>
            <w:r>
              <w:rPr>
                <w:rFonts w:hint="eastAsia" w:ascii="方正仿宋_GBK" w:eastAsia="方正仿宋_GBK"/>
                <w:color w:val="000000"/>
                <w:sz w:val="24"/>
                <w:szCs w:val="24"/>
                <w:lang w:val="en-US"/>
              </w:rPr>
              <w:t xml:space="preserve">电动自行车、电动自行车违规存放充电等违法行为。 </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经济信息委</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rPr>
              <w:t>、区</w:t>
            </w:r>
            <w:r>
              <w:rPr>
                <w:rFonts w:hint="eastAsia" w:ascii="方正仿宋_GBK" w:eastAsia="方正仿宋_GBK"/>
                <w:color w:val="000000"/>
                <w:sz w:val="24"/>
                <w:szCs w:val="24"/>
                <w:lang w:eastAsia="zh-CN"/>
              </w:rPr>
              <w:t>市场监管局</w:t>
            </w:r>
            <w:r>
              <w:rPr>
                <w:rFonts w:ascii="方正仿宋_GBK" w:eastAsia="方正仿宋_GBK"/>
                <w:color w:val="000000"/>
                <w:sz w:val="24"/>
                <w:szCs w:val="24"/>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47" w:hRule="atLeast"/>
          <w:jc w:val="center"/>
        </w:trPr>
        <w:tc>
          <w:tcPr>
            <w:tcW w:w="1371" w:type="dxa"/>
            <w:vMerge w:val="continue"/>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pPr>
          </w:p>
        </w:tc>
        <w:tc>
          <w:tcPr>
            <w:tcW w:w="1179" w:type="dxa"/>
            <w:vMerge w:val="continue"/>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jc w:val="center"/>
              <w:textAlignment w:val="auto"/>
              <w:rPr>
                <w:rFonts w:ascii="方正仿宋_GBK" w:eastAsia="方正仿宋_GBK"/>
                <w:color w:val="000000"/>
                <w:sz w:val="24"/>
                <w:szCs w:val="24"/>
              </w:rPr>
            </w:pP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ascii="方正仿宋_GBK" w:eastAsia="方正仿宋_GBK"/>
                <w:color w:val="000000"/>
                <w:sz w:val="24"/>
                <w:szCs w:val="24"/>
              </w:rPr>
              <w:t>1</w:t>
            </w:r>
            <w:r>
              <w:rPr>
                <w:rFonts w:hint="eastAsia" w:ascii="方正仿宋_GBK" w:eastAsia="方正仿宋_GBK"/>
                <w:color w:val="000000"/>
                <w:sz w:val="24"/>
                <w:szCs w:val="24"/>
                <w:lang w:eastAsia="zh-CN"/>
              </w:rPr>
              <w:t>2</w:t>
            </w:r>
            <w:r>
              <w:rPr>
                <w:rFonts w:ascii="方正仿宋_GBK" w:eastAsia="方正仿宋_GBK"/>
                <w:color w:val="000000"/>
                <w:sz w:val="24"/>
                <w:szCs w:val="24"/>
              </w:rPr>
              <w:t>.</w:t>
            </w:r>
            <w:r>
              <w:rPr>
                <w:rFonts w:hint="eastAsia" w:ascii="方正仿宋_GBK" w:eastAsia="方正仿宋_GBK"/>
                <w:color w:val="000000"/>
                <w:sz w:val="24"/>
                <w:szCs w:val="24"/>
                <w:lang w:val="en-US"/>
              </w:rPr>
              <w:t>推广采用智能化手段，防止电动自行车进入电梯、楼道。新改、扩建电动自行</w:t>
            </w:r>
            <w:r>
              <w:rPr>
                <w:rFonts w:hint="eastAsia" w:ascii="方正仿宋_GBK" w:eastAsia="方正仿宋_GBK"/>
                <w:color w:val="000000"/>
                <w:sz w:val="24"/>
                <w:szCs w:val="24"/>
                <w:lang w:val="en-US" w:eastAsia="zh-CN"/>
              </w:rPr>
              <w:t>车</w:t>
            </w:r>
            <w:r>
              <w:rPr>
                <w:rFonts w:hint="eastAsia" w:ascii="方正仿宋_GBK" w:eastAsia="方正仿宋_GBK"/>
                <w:color w:val="000000"/>
                <w:sz w:val="24"/>
                <w:szCs w:val="24"/>
                <w:lang w:val="en-US"/>
              </w:rPr>
              <w:t>集中停放和充电区域，引导电动自行车规范停放。</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p>
            <w:pPr>
              <w:pStyle w:val="15"/>
              <w:keepNext w:val="0"/>
              <w:keepLines w:val="0"/>
              <w:pageBreakBefore w:val="0"/>
              <w:kinsoku/>
              <w:wordWrap/>
              <w:overflowPunct/>
              <w:topLinePunct w:val="0"/>
              <w:autoSpaceDE/>
              <w:autoSpaceDN/>
              <w:bidi w:val="0"/>
              <w:adjustRightInd/>
              <w:snapToGrid/>
              <w:spacing w:line="240" w:lineRule="exact"/>
              <w:textAlignment w:val="auto"/>
              <w:rPr>
                <w:rFonts w:ascii="方正仿宋_GBK"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22" w:hRule="atLeast"/>
          <w:jc w:val="center"/>
        </w:trPr>
        <w:tc>
          <w:tcPr>
            <w:tcW w:w="1371" w:type="dxa"/>
            <w:shd w:val="clear" w:color="auto" w:fill="FFFFFF"/>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pPr>
            <w:r>
              <w:rPr>
                <w:rFonts w:hint="eastAsia" w:ascii="方正仿宋_GBK" w:hAnsi="宋体" w:cs="宋体"/>
                <w:color w:val="000000"/>
                <w:kern w:val="0"/>
                <w:sz w:val="24"/>
                <w:szCs w:val="24"/>
                <w:lang w:eastAsia="zh-TW" w:bidi="zh-TW"/>
              </w:rPr>
              <w:t>巩固可燃雨棚和突出外墙防护网整改防范机制</w:t>
            </w:r>
            <w:r>
              <w:rPr>
                <w:rFonts w:ascii="方正仿宋_GBK" w:hAnsi="宋体" w:cs="宋体"/>
                <w:color w:val="000000"/>
                <w:kern w:val="0"/>
                <w:sz w:val="24"/>
                <w:szCs w:val="24"/>
                <w:lang w:eastAsia="zh-TW" w:bidi="zh-TW"/>
              </w:rPr>
              <w:t>（牵头单位：住房城乡建委</w:t>
            </w:r>
            <w:r>
              <w:rPr>
                <w:rFonts w:ascii="方正仿宋_GBK"/>
                <w:color w:val="000000"/>
                <w:sz w:val="24"/>
                <w:szCs w:val="24"/>
              </w:rPr>
              <w:t>）</w:t>
            </w:r>
          </w:p>
        </w:tc>
        <w:tc>
          <w:tcPr>
            <w:tcW w:w="1179"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val="en-US" w:eastAsia="zh-CN"/>
              </w:rPr>
            </w:pPr>
            <w:r>
              <w:rPr>
                <w:rFonts w:hint="eastAsia" w:ascii="方正仿宋_GBK" w:eastAsia="方正仿宋_GBK"/>
                <w:color w:val="000000"/>
                <w:sz w:val="24"/>
                <w:szCs w:val="24"/>
                <w:lang w:val="en-US" w:eastAsia="zh-CN"/>
              </w:rPr>
              <w:t>开展整治工作“回头看”</w:t>
            </w:r>
          </w:p>
        </w:tc>
        <w:tc>
          <w:tcPr>
            <w:tcW w:w="469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lang w:val="en-US" w:eastAsia="zh-CN"/>
              </w:rPr>
            </w:pPr>
            <w:r>
              <w:rPr>
                <w:rFonts w:hint="eastAsia" w:ascii="方正仿宋_GBK" w:eastAsia="方正仿宋_GBK"/>
                <w:color w:val="000000"/>
                <w:sz w:val="24"/>
                <w:szCs w:val="24"/>
                <w:lang w:val="en-US" w:eastAsia="zh-CN"/>
              </w:rPr>
              <w:t>13.落实街镇属地管理和区级部门属事管理责任，组织开展高层建筑可燃雨棚和突出外墙防护网整治“回头看”，对遗留隐患问题，在</w:t>
            </w:r>
            <w:r>
              <w:rPr>
                <w:rFonts w:hint="eastAsia" w:ascii="Times New Roman" w:hAnsi="Times New Roman" w:eastAsia="方正仿宋_GBK" w:cs="Times New Roman"/>
                <w:color w:val="000000"/>
                <w:sz w:val="24"/>
                <w:szCs w:val="24"/>
                <w:lang w:val="en-US"/>
              </w:rPr>
              <w:t>2022</w:t>
            </w:r>
            <w:r>
              <w:rPr>
                <w:rFonts w:hint="eastAsia" w:ascii="方正仿宋_GBK" w:eastAsia="方正仿宋_GBK"/>
                <w:color w:val="000000"/>
                <w:sz w:val="24"/>
                <w:szCs w:val="24"/>
                <w:lang w:val="en-US" w:eastAsia="zh-CN"/>
              </w:rPr>
              <w:t>年</w:t>
            </w:r>
            <w:r>
              <w:rPr>
                <w:rFonts w:hint="eastAsia" w:ascii="Times New Roman" w:hAnsi="Times New Roman" w:eastAsia="方正仿宋_GBK" w:cs="Times New Roman"/>
                <w:color w:val="000000"/>
                <w:sz w:val="24"/>
                <w:szCs w:val="24"/>
                <w:lang w:val="en-US"/>
              </w:rPr>
              <w:t>4</w:t>
            </w:r>
            <w:r>
              <w:rPr>
                <w:rFonts w:hint="eastAsia" w:ascii="方正仿宋_GBK" w:eastAsia="方正仿宋_GBK"/>
                <w:color w:val="000000"/>
                <w:sz w:val="24"/>
                <w:szCs w:val="24"/>
                <w:lang w:val="en-US" w:eastAsia="zh-CN"/>
              </w:rPr>
              <w:t>月底前登记造册，</w:t>
            </w:r>
            <w:r>
              <w:rPr>
                <w:rFonts w:hint="eastAsia" w:ascii="Times New Roman" w:hAnsi="Times New Roman" w:eastAsia="方正仿宋_GBK" w:cs="Times New Roman"/>
                <w:color w:val="000000"/>
                <w:sz w:val="24"/>
                <w:szCs w:val="24"/>
                <w:lang w:val="en-US"/>
              </w:rPr>
              <w:t>6</w:t>
            </w:r>
            <w:r>
              <w:rPr>
                <w:rFonts w:hint="eastAsia" w:ascii="方正仿宋_GBK" w:eastAsia="方正仿宋_GBK"/>
                <w:color w:val="000000"/>
                <w:sz w:val="24"/>
                <w:szCs w:val="24"/>
                <w:lang w:val="en-US" w:eastAsia="zh-CN"/>
              </w:rPr>
              <w:t>月底前整改完毕。</w:t>
            </w:r>
          </w:p>
        </w:tc>
        <w:tc>
          <w:tcPr>
            <w:tcW w:w="2546" w:type="dxa"/>
            <w:shd w:val="clear" w:color="auto" w:fill="FFFFFF"/>
            <w:noWrap w:val="0"/>
            <w:vAlign w:val="center"/>
          </w:tcPr>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各街镇，</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p>
            <w:pPr>
              <w:pStyle w:val="15"/>
              <w:keepNext w:val="0"/>
              <w:keepLines w:val="0"/>
              <w:pageBreakBefore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lang w:val="en-US" w:eastAsia="zh-CN"/>
        </w:rPr>
      </w:pPr>
    </w:p>
    <w:tbl>
      <w:tblPr>
        <w:tblStyle w:val="9"/>
        <w:tblW w:w="9475" w:type="dxa"/>
        <w:jc w:val="center"/>
        <w:tblLayout w:type="fixed"/>
        <w:tblCellMar>
          <w:top w:w="0" w:type="dxa"/>
          <w:left w:w="10" w:type="dxa"/>
          <w:bottom w:w="0" w:type="dxa"/>
          <w:right w:w="10" w:type="dxa"/>
        </w:tblCellMar>
      </w:tblPr>
      <w:tblGrid>
        <w:gridCol w:w="1368"/>
        <w:gridCol w:w="1176"/>
        <w:gridCol w:w="4829"/>
        <w:gridCol w:w="2102"/>
      </w:tblGrid>
      <w:tr>
        <w:tblPrEx>
          <w:tblCellMar>
            <w:top w:w="0" w:type="dxa"/>
            <w:left w:w="10" w:type="dxa"/>
            <w:bottom w:w="0" w:type="dxa"/>
            <w:right w:w="10" w:type="dxa"/>
          </w:tblCellMar>
        </w:tblPrEx>
        <w:trPr>
          <w:trHeight w:val="485" w:hRule="exact"/>
          <w:jc w:val="center"/>
        </w:trPr>
        <w:tc>
          <w:tcPr>
            <w:tcW w:w="1368"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专项行动</w:t>
            </w: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工作任务</w:t>
            </w:r>
          </w:p>
        </w:tc>
        <w:tc>
          <w:tcPr>
            <w:tcW w:w="482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 作 内 容</w:t>
            </w:r>
          </w:p>
        </w:tc>
        <w:tc>
          <w:tcPr>
            <w:tcW w:w="2102"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责任单位</w:t>
            </w:r>
          </w:p>
        </w:tc>
      </w:tr>
      <w:tr>
        <w:tblPrEx>
          <w:tblCellMar>
            <w:top w:w="0" w:type="dxa"/>
            <w:left w:w="10" w:type="dxa"/>
            <w:bottom w:w="0" w:type="dxa"/>
            <w:right w:w="10" w:type="dxa"/>
          </w:tblCellMar>
        </w:tblPrEx>
        <w:trPr>
          <w:trHeight w:val="1661" w:hRule="exact"/>
          <w:jc w:val="center"/>
        </w:trPr>
        <w:tc>
          <w:tcPr>
            <w:tcW w:w="1368"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严格日常管理</w:t>
            </w:r>
          </w:p>
        </w:tc>
        <w:tc>
          <w:tcPr>
            <w:tcW w:w="482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val="en-US" w:eastAsia="zh-CN"/>
              </w:rPr>
              <w:t>14.</w:t>
            </w:r>
            <w:r>
              <w:rPr>
                <w:rFonts w:hint="eastAsia" w:ascii="方正仿宋_GBK" w:eastAsia="方正仿宋_GBK"/>
                <w:color w:val="000000"/>
                <w:sz w:val="24"/>
                <w:szCs w:val="24"/>
                <w:lang w:val="en-US"/>
              </w:rPr>
              <w:t>将可燃雨棚和突出外墙防护网整治纳</w:t>
            </w:r>
            <w:r>
              <w:rPr>
                <w:rFonts w:hint="eastAsia" w:ascii="方正仿宋_GBK" w:eastAsia="方正仿宋_GBK"/>
                <w:color w:val="000000"/>
                <w:sz w:val="24"/>
                <w:szCs w:val="24"/>
                <w:lang w:val="en-US" w:eastAsia="zh-CN"/>
              </w:rPr>
              <w:t>入</w:t>
            </w:r>
            <w:r>
              <w:rPr>
                <w:rFonts w:hint="eastAsia" w:ascii="方正仿宋_GBK" w:eastAsia="方正仿宋_GBK"/>
                <w:color w:val="000000"/>
                <w:sz w:val="24"/>
                <w:szCs w:val="24"/>
                <w:lang w:val="en-US"/>
              </w:rPr>
              <w:t>市容环境提升、老旧小区改造重点内容，有序推进多层建筑整改。</w:t>
            </w:r>
          </w:p>
        </w:tc>
        <w:tc>
          <w:tcPr>
            <w:tcW w:w="2102"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rPr>
              <w:t>、区城市管理局</w:t>
            </w:r>
          </w:p>
        </w:tc>
      </w:tr>
      <w:tr>
        <w:tblPrEx>
          <w:tblCellMar>
            <w:top w:w="0" w:type="dxa"/>
            <w:left w:w="10" w:type="dxa"/>
            <w:bottom w:w="0" w:type="dxa"/>
            <w:right w:w="10" w:type="dxa"/>
          </w:tblCellMar>
        </w:tblPrEx>
        <w:trPr>
          <w:trHeight w:val="1696" w:hRule="exact"/>
          <w:jc w:val="center"/>
        </w:trPr>
        <w:tc>
          <w:tcPr>
            <w:tcW w:w="1368"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hAnsi="宋体" w:cs="宋体"/>
                <w:color w:val="000000"/>
                <w:sz w:val="24"/>
                <w:szCs w:val="24"/>
                <w:lang w:val="zh-TW" w:eastAsia="zh-TW" w:bidi="zh-TW"/>
              </w:rPr>
            </w:pPr>
          </w:p>
        </w:tc>
        <w:tc>
          <w:tcPr>
            <w:tcW w:w="1176" w:type="dxa"/>
            <w:vMerge w:val="continue"/>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hAnsi="宋体" w:cs="宋体"/>
                <w:color w:val="000000"/>
                <w:sz w:val="24"/>
                <w:szCs w:val="24"/>
                <w:lang w:val="zh-TW" w:eastAsia="zh-TW" w:bidi="zh-TW"/>
              </w:rPr>
            </w:pPr>
          </w:p>
        </w:tc>
        <w:tc>
          <w:tcPr>
            <w:tcW w:w="482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1</w:t>
            </w:r>
            <w:r>
              <w:rPr>
                <w:rFonts w:hint="eastAsia" w:ascii="方正仿宋_GBK" w:eastAsia="方正仿宋_GBK"/>
                <w:color w:val="000000"/>
                <w:sz w:val="24"/>
                <w:szCs w:val="24"/>
                <w:lang w:eastAsia="zh-CN"/>
              </w:rPr>
              <w:t>5</w:t>
            </w:r>
            <w:r>
              <w:rPr>
                <w:rFonts w:ascii="方正仿宋_GBK" w:eastAsia="方正仿宋_GBK"/>
                <w:color w:val="000000"/>
                <w:sz w:val="24"/>
                <w:szCs w:val="24"/>
              </w:rPr>
              <w:t>.</w:t>
            </w:r>
            <w:r>
              <w:rPr>
                <w:rFonts w:hint="eastAsia" w:ascii="方正仿宋_GBK" w:eastAsia="方正仿宋_GBK"/>
                <w:color w:val="000000"/>
                <w:sz w:val="24"/>
                <w:szCs w:val="24"/>
                <w:lang w:val="en-US"/>
              </w:rPr>
              <w:t>巩固完善日常防范制度，推动物业服务企业切实履行发现、劝阻、报告违规搭建可燃雨棚、突出外墙防护网等行为以及宣传教育职责，发挥日常安全管理前哨作用。</w:t>
            </w:r>
          </w:p>
        </w:tc>
        <w:tc>
          <w:tcPr>
            <w:tcW w:w="2102"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trHeight w:val="1545" w:hRule="exact"/>
          <w:jc w:val="center"/>
        </w:trPr>
        <w:tc>
          <w:tcPr>
            <w:tcW w:w="1368" w:type="dxa"/>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hAnsi="宋体" w:cs="宋体"/>
                <w:color w:val="000000"/>
                <w:sz w:val="24"/>
                <w:szCs w:val="24"/>
                <w:lang w:val="zh-TW" w:eastAsia="zh-TW" w:bidi="zh-TW"/>
              </w:rPr>
            </w:pPr>
          </w:p>
        </w:tc>
        <w:tc>
          <w:tcPr>
            <w:tcW w:w="1176" w:type="dxa"/>
            <w:tcBorders>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hAnsi="宋体" w:cs="宋体"/>
                <w:color w:val="000000"/>
                <w:sz w:val="24"/>
                <w:szCs w:val="24"/>
                <w:lang w:val="zh-TW" w:eastAsia="zh-TW" w:bidi="zh-TW"/>
              </w:rPr>
            </w:pPr>
          </w:p>
        </w:tc>
        <w:tc>
          <w:tcPr>
            <w:tcW w:w="482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16.</w:t>
            </w:r>
            <w:r>
              <w:rPr>
                <w:rFonts w:hint="eastAsia" w:ascii="方正仿宋_GBK" w:eastAsia="方正仿宋_GBK"/>
                <w:color w:val="000000"/>
                <w:sz w:val="24"/>
                <w:szCs w:val="24"/>
                <w:lang w:val="en-US" w:eastAsia="zh-CN"/>
              </w:rPr>
              <w:t>持续加强雨棚和防护网生产、销售、安装等环节的管控，健全完善相关产品标准和管理规范，开展产品年度抽检和综合执法。</w:t>
            </w:r>
          </w:p>
        </w:tc>
        <w:tc>
          <w:tcPr>
            <w:tcW w:w="2102"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rPr>
              <w:t>区</w:t>
            </w:r>
            <w:r>
              <w:rPr>
                <w:rFonts w:ascii="方正仿宋_GBK" w:eastAsia="方正仿宋_GBK"/>
                <w:color w:val="000000"/>
                <w:sz w:val="24"/>
                <w:szCs w:val="24"/>
              </w:rPr>
              <w:t>经济信息委</w:t>
            </w:r>
            <w:r>
              <w:rPr>
                <w:rFonts w:hint="eastAsia" w:ascii="方正仿宋_GBK" w:eastAsia="方正仿宋_GBK"/>
                <w:color w:val="000000"/>
                <w:sz w:val="24"/>
                <w:szCs w:val="24"/>
                <w:lang w:eastAsia="zh-CN"/>
              </w:rPr>
              <w:t>、区商务委、区市场监督局、区消防救援支队</w:t>
            </w:r>
          </w:p>
        </w:tc>
      </w:tr>
      <w:tr>
        <w:tblPrEx>
          <w:tblCellMar>
            <w:top w:w="0" w:type="dxa"/>
            <w:left w:w="10" w:type="dxa"/>
            <w:bottom w:w="0" w:type="dxa"/>
            <w:right w:w="10" w:type="dxa"/>
          </w:tblCellMar>
        </w:tblPrEx>
        <w:trPr>
          <w:trHeight w:val="2813" w:hRule="exact"/>
          <w:jc w:val="center"/>
        </w:trPr>
        <w:tc>
          <w:tcPr>
            <w:tcW w:w="1368"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巩固隐患滚动排查机制</w:t>
            </w:r>
            <w:r>
              <w:rPr>
                <w:rFonts w:ascii="方正仿宋_GBK" w:eastAsia="方正仿宋_GBK"/>
                <w:color w:val="000000"/>
                <w:sz w:val="24"/>
                <w:szCs w:val="24"/>
              </w:rPr>
              <w:t>（牵头单位：</w:t>
            </w:r>
            <w:r>
              <w:rPr>
                <w:rFonts w:hint="eastAsia" w:ascii="方正仿宋_GBK" w:eastAsia="方正仿宋_GBK"/>
                <w:color w:val="000000"/>
                <w:sz w:val="24"/>
                <w:szCs w:val="24"/>
                <w:lang w:val="en-US"/>
              </w:rPr>
              <w:t>区消防救援支队</w:t>
            </w:r>
            <w:r>
              <w:rPr>
                <w:rFonts w:ascii="方正仿宋_GBK" w:eastAsia="方正仿宋_GBK"/>
                <w:color w:val="000000"/>
                <w:sz w:val="24"/>
                <w:szCs w:val="24"/>
              </w:rPr>
              <w:t>）</w:t>
            </w: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val="en-US"/>
              </w:rPr>
              <w:t>推广“街</w:t>
            </w:r>
            <w:r>
              <w:rPr>
                <w:rFonts w:hint="eastAsia" w:ascii="方正仿宋_GBK" w:eastAsia="方正仿宋_GBK"/>
                <w:color w:val="000000"/>
                <w:sz w:val="24"/>
                <w:szCs w:val="24"/>
                <w:lang w:val="en-US" w:eastAsia="zh-CN"/>
              </w:rPr>
              <w:t>镇吹哨、部门报到”模式</w:t>
            </w:r>
          </w:p>
        </w:tc>
        <w:tc>
          <w:tcPr>
            <w:tcW w:w="482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17</w:t>
            </w:r>
            <w:r>
              <w:rPr>
                <w:rFonts w:ascii="方正仿宋_GBK" w:eastAsia="方正仿宋_GBK"/>
                <w:color w:val="000000"/>
                <w:sz w:val="24"/>
                <w:szCs w:val="24"/>
              </w:rPr>
              <w:t>.</w:t>
            </w:r>
            <w:r>
              <w:rPr>
                <w:rFonts w:hint="eastAsia" w:ascii="方正仿宋_GBK" w:eastAsia="方正仿宋_GBK"/>
                <w:color w:val="000000"/>
                <w:sz w:val="24"/>
                <w:szCs w:val="24"/>
                <w:lang w:val="en-US"/>
              </w:rPr>
              <w:t>建立以街</w:t>
            </w:r>
            <w:r>
              <w:rPr>
                <w:rFonts w:hint="eastAsia" w:ascii="方正仿宋_GBK" w:eastAsia="方正仿宋_GBK"/>
                <w:color w:val="000000"/>
                <w:sz w:val="24"/>
                <w:szCs w:val="24"/>
                <w:lang w:val="en-US" w:eastAsia="zh-CN"/>
              </w:rPr>
              <w:t>镇</w:t>
            </w:r>
            <w:r>
              <w:rPr>
                <w:rFonts w:hint="eastAsia" w:ascii="方正仿宋_GBK" w:eastAsia="方正仿宋_GBK"/>
                <w:color w:val="000000"/>
                <w:sz w:val="24"/>
                <w:szCs w:val="24"/>
                <w:lang w:val="en-US"/>
              </w:rPr>
              <w:t>为基本单元，消防救援、城市管理、住房城乡建设、公安、经济信息等部门指导参与的隐患滚动排查整治机制。结合日常安全检查和专项排查工作，实时掌握辖区高层建筑底数，摸排消防设施、“生命通道”、可燃雨棚和突出外墙防护网、用电用气、安全管理等情况，定期组织住宅小区开展“三查三清”。</w:t>
            </w:r>
          </w:p>
        </w:tc>
        <w:tc>
          <w:tcPr>
            <w:tcW w:w="2102"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，区消防救援支队、</w:t>
            </w:r>
            <w:r>
              <w:rPr>
                <w:rFonts w:hint="eastAsia" w:ascii="方正仿宋_GBK" w:eastAsia="方正仿宋_GBK"/>
                <w:color w:val="000000"/>
                <w:sz w:val="24"/>
                <w:szCs w:val="24"/>
              </w:rPr>
              <w:t>区城市管理局</w:t>
            </w:r>
            <w:r>
              <w:rPr>
                <w:rFonts w:hint="eastAsia" w:ascii="方正仿宋_GBK" w:eastAsia="方正仿宋_GBK"/>
                <w:color w:val="000000"/>
                <w:sz w:val="24"/>
                <w:szCs w:val="24"/>
                <w:lang w:eastAsia="zh-CN"/>
              </w:rPr>
              <w:t>、区</w:t>
            </w:r>
            <w:r>
              <w:rPr>
                <w:rFonts w:hint="eastAsia" w:ascii="方正仿宋_GBK" w:eastAsia="方正仿宋_GBK"/>
                <w:color w:val="000000"/>
                <w:sz w:val="24"/>
                <w:szCs w:val="24"/>
                <w:lang w:val="en-US"/>
              </w:rPr>
              <w:t>住房城乡建</w:t>
            </w:r>
            <w:r>
              <w:rPr>
                <w:rFonts w:hint="eastAsia" w:ascii="方正仿宋_GBK" w:eastAsia="方正仿宋_GBK"/>
                <w:color w:val="000000"/>
                <w:sz w:val="24"/>
                <w:szCs w:val="24"/>
                <w:lang w:val="en-US" w:eastAsia="zh-CN"/>
              </w:rPr>
              <w:t>委、</w:t>
            </w:r>
            <w:r>
              <w:rPr>
                <w:rFonts w:hint="eastAsia" w:ascii="方正仿宋_GBK" w:eastAsia="方正仿宋_GBK"/>
                <w:color w:val="000000"/>
                <w:sz w:val="24"/>
                <w:szCs w:val="24"/>
              </w:rPr>
              <w:t>区</w:t>
            </w:r>
            <w:r>
              <w:rPr>
                <w:rFonts w:hint="eastAsia" w:ascii="方正仿宋_GBK" w:eastAsia="方正仿宋_GBK"/>
                <w:color w:val="000000"/>
                <w:sz w:val="24"/>
                <w:szCs w:val="24"/>
                <w:lang w:eastAsia="zh-CN"/>
              </w:rPr>
              <w:t>公安局</w:t>
            </w:r>
            <w:r>
              <w:rPr>
                <w:rFonts w:hint="eastAsia" w:ascii="方正仿宋_GBK" w:eastAsia="方正仿宋_GBK"/>
                <w:color w:val="000000"/>
                <w:sz w:val="24"/>
                <w:szCs w:val="24"/>
              </w:rPr>
              <w:t>、</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经济信息委</w:t>
            </w:r>
          </w:p>
        </w:tc>
      </w:tr>
      <w:tr>
        <w:tblPrEx>
          <w:tblCellMar>
            <w:top w:w="0" w:type="dxa"/>
            <w:left w:w="10" w:type="dxa"/>
            <w:bottom w:w="0" w:type="dxa"/>
            <w:right w:w="10" w:type="dxa"/>
          </w:tblCellMar>
        </w:tblPrEx>
        <w:trPr>
          <w:trHeight w:val="3676" w:hRule="exact"/>
          <w:jc w:val="center"/>
        </w:trPr>
        <w:tc>
          <w:tcPr>
            <w:tcW w:w="1368" w:type="dxa"/>
            <w:vMerge w:val="continue"/>
            <w:tcBorders>
              <w:left w:val="single" w:color="auto" w:sz="4" w:space="0"/>
              <w:bottom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hAnsi="宋体" w:cs="宋体"/>
                <w:color w:val="000000"/>
                <w:sz w:val="24"/>
                <w:szCs w:val="24"/>
                <w:lang w:val="zh-TW" w:eastAsia="zh-TW" w:bidi="zh-TW"/>
              </w:rPr>
            </w:pP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进行全面排查</w:t>
            </w:r>
          </w:p>
        </w:tc>
        <w:tc>
          <w:tcPr>
            <w:tcW w:w="4829" w:type="dxa"/>
            <w:tcBorders>
              <w:top w:val="single" w:color="auto" w:sz="4" w:space="0"/>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18</w:t>
            </w:r>
            <w:r>
              <w:rPr>
                <w:rFonts w:ascii="方正仿宋_GBK" w:eastAsia="方正仿宋_GBK"/>
                <w:color w:val="000000"/>
                <w:sz w:val="24"/>
                <w:szCs w:val="24"/>
              </w:rPr>
              <w:t>.</w:t>
            </w:r>
            <w:r>
              <w:rPr>
                <w:rFonts w:hint="eastAsia" w:ascii="Times New Roman" w:hAnsi="Times New Roman" w:eastAsia="方正仿宋_GBK" w:cs="Times New Roman"/>
                <w:color w:val="000000"/>
                <w:sz w:val="24"/>
                <w:szCs w:val="24"/>
                <w:lang w:val="en-US"/>
              </w:rPr>
              <w:t>2022</w:t>
            </w:r>
            <w:r>
              <w:rPr>
                <w:rFonts w:hint="eastAsia" w:ascii="方正仿宋_GBK" w:eastAsia="方正仿宋_GBK"/>
                <w:color w:val="000000"/>
                <w:sz w:val="24"/>
                <w:szCs w:val="24"/>
                <w:lang w:val="en-US"/>
              </w:rPr>
              <w:t>年</w:t>
            </w:r>
            <w:r>
              <w:rPr>
                <w:rFonts w:hint="eastAsia" w:ascii="Times New Roman" w:hAnsi="Times New Roman" w:eastAsia="方正仿宋_GBK" w:cs="Times New Roman"/>
                <w:color w:val="000000"/>
                <w:sz w:val="24"/>
                <w:szCs w:val="24"/>
                <w:lang w:val="en-US"/>
              </w:rPr>
              <w:t>4</w:t>
            </w:r>
            <w:r>
              <w:rPr>
                <w:rFonts w:hint="eastAsia" w:ascii="方正仿宋_GBK" w:eastAsia="方正仿宋_GBK"/>
                <w:color w:val="000000"/>
                <w:sz w:val="24"/>
                <w:szCs w:val="24"/>
                <w:lang w:val="en-US"/>
              </w:rPr>
              <w:t>月底前，按照“单位自查、街镇普查、部门联查、专业核查”的原则，组织对辖区高层建筑再开展一轮全面摸排，并建立完善新的基础台账和隐患整改责任清单，推动隐患整改工作落实。</w:t>
            </w:r>
          </w:p>
        </w:tc>
        <w:tc>
          <w:tcPr>
            <w:tcW w:w="210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，区消防救援支队、</w:t>
            </w:r>
            <w:r>
              <w:rPr>
                <w:rFonts w:hint="eastAsia" w:ascii="方正仿宋_GBK" w:eastAsia="方正仿宋_GBK"/>
                <w:color w:val="000000"/>
                <w:sz w:val="24"/>
                <w:szCs w:val="24"/>
              </w:rPr>
              <w:t>区城市管理局</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经济信息委</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lang w:val="en-US" w:eastAsia="zh-CN"/>
        </w:rPr>
      </w:pPr>
    </w:p>
    <w:tbl>
      <w:tblPr>
        <w:tblStyle w:val="9"/>
        <w:tblW w:w="9721" w:type="dxa"/>
        <w:jc w:val="center"/>
        <w:tblLayout w:type="fixed"/>
        <w:tblCellMar>
          <w:top w:w="0" w:type="dxa"/>
          <w:left w:w="10" w:type="dxa"/>
          <w:bottom w:w="0" w:type="dxa"/>
          <w:right w:w="10" w:type="dxa"/>
        </w:tblCellMar>
      </w:tblPr>
      <w:tblGrid>
        <w:gridCol w:w="1368"/>
        <w:gridCol w:w="1176"/>
        <w:gridCol w:w="4699"/>
        <w:gridCol w:w="314"/>
        <w:gridCol w:w="1941"/>
        <w:gridCol w:w="223"/>
      </w:tblGrid>
      <w:tr>
        <w:tblPrEx>
          <w:tblCellMar>
            <w:top w:w="0" w:type="dxa"/>
            <w:left w:w="10" w:type="dxa"/>
            <w:bottom w:w="0" w:type="dxa"/>
            <w:right w:w="10" w:type="dxa"/>
          </w:tblCellMar>
        </w:tblPrEx>
        <w:trPr>
          <w:gridAfter w:val="1"/>
          <w:wAfter w:w="223" w:type="dxa"/>
          <w:trHeight w:val="485" w:hRule="exact"/>
          <w:jc w:val="center"/>
        </w:trPr>
        <w:tc>
          <w:tcPr>
            <w:tcW w:w="1368"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专项行动</w:t>
            </w: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工作任务</w:t>
            </w: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 作 内 容</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责任单位</w:t>
            </w:r>
          </w:p>
        </w:tc>
      </w:tr>
      <w:tr>
        <w:tblPrEx>
          <w:tblCellMar>
            <w:top w:w="0" w:type="dxa"/>
            <w:left w:w="10" w:type="dxa"/>
            <w:bottom w:w="0" w:type="dxa"/>
            <w:right w:w="10" w:type="dxa"/>
          </w:tblCellMar>
        </w:tblPrEx>
        <w:trPr>
          <w:gridAfter w:val="1"/>
          <w:wAfter w:w="223" w:type="dxa"/>
          <w:trHeight w:val="1944" w:hRule="exact"/>
          <w:jc w:val="center"/>
        </w:trPr>
        <w:tc>
          <w:tcPr>
            <w:tcW w:w="1368"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巩固消防设施质量管控和维护管理机制</w:t>
            </w:r>
            <w:r>
              <w:rPr>
                <w:rFonts w:ascii="方正仿宋_GBK" w:eastAsia="方正仿宋_GBK"/>
                <w:color w:val="000000"/>
                <w:sz w:val="24"/>
                <w:szCs w:val="24"/>
              </w:rPr>
              <w:t>（牵头单 位：</w:t>
            </w:r>
            <w:r>
              <w:rPr>
                <w:rFonts w:hint="eastAsia" w:ascii="方正仿宋_GBK" w:eastAsia="方正仿宋_GBK"/>
                <w:color w:val="000000"/>
                <w:sz w:val="24"/>
                <w:szCs w:val="24"/>
                <w:lang w:eastAsia="zh-CN"/>
              </w:rPr>
              <w:t>区消防救援支队</w:t>
            </w:r>
            <w:r>
              <w:rPr>
                <w:rFonts w:ascii="方正仿宋_GBK" w:eastAsia="方正仿宋_GBK"/>
                <w:color w:val="000000"/>
                <w:sz w:val="24"/>
                <w:szCs w:val="24"/>
              </w:rPr>
              <w:t>）</w:t>
            </w: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强化整改工程质量管理</w:t>
            </w: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19</w:t>
            </w:r>
            <w:r>
              <w:rPr>
                <w:rFonts w:ascii="方正仿宋_GBK" w:eastAsia="方正仿宋_GBK"/>
                <w:color w:val="000000"/>
                <w:sz w:val="24"/>
                <w:szCs w:val="24"/>
              </w:rPr>
              <w:t>.</w:t>
            </w:r>
            <w:r>
              <w:rPr>
                <w:rFonts w:hint="eastAsia" w:ascii="方正仿宋_GBK" w:eastAsia="方正仿宋_GBK"/>
                <w:color w:val="000000"/>
                <w:sz w:val="24"/>
                <w:szCs w:val="24"/>
                <w:lang w:val="en-US"/>
              </w:rPr>
              <w:t>承担整改工程设计、施工的单位应具有相应资质等级，鼓励聘请有资质的监理单位进行工程监理。实施整改质量保修制度，明确不少于两年的整改保修期限。</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lang w:eastAsia="zh-CN"/>
              </w:rPr>
              <w:t>、区消防救援支队、区开投公司</w:t>
            </w:r>
          </w:p>
        </w:tc>
      </w:tr>
      <w:tr>
        <w:tblPrEx>
          <w:tblCellMar>
            <w:top w:w="0" w:type="dxa"/>
            <w:left w:w="10" w:type="dxa"/>
            <w:bottom w:w="0" w:type="dxa"/>
            <w:right w:w="10" w:type="dxa"/>
          </w:tblCellMar>
        </w:tblPrEx>
        <w:trPr>
          <w:gridAfter w:val="1"/>
          <w:wAfter w:w="223" w:type="dxa"/>
          <w:trHeight w:val="1424" w:hRule="exac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强化联合验收</w:t>
            </w: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2</w:t>
            </w:r>
            <w:r>
              <w:rPr>
                <w:rFonts w:hint="eastAsia" w:ascii="方正仿宋_GBK" w:eastAsia="方正仿宋_GBK"/>
                <w:color w:val="000000"/>
                <w:sz w:val="24"/>
                <w:szCs w:val="24"/>
                <w:lang w:eastAsia="zh-CN"/>
              </w:rPr>
              <w:t>0</w:t>
            </w:r>
            <w:r>
              <w:rPr>
                <w:rFonts w:ascii="方正仿宋_GBK" w:eastAsia="方正仿宋_GBK"/>
                <w:color w:val="000000"/>
                <w:sz w:val="24"/>
                <w:szCs w:val="24"/>
              </w:rPr>
              <w:t>.</w:t>
            </w:r>
            <w:r>
              <w:rPr>
                <w:rFonts w:hint="eastAsia" w:ascii="方正仿宋_GBK" w:eastAsia="方正仿宋_GBK"/>
                <w:color w:val="000000"/>
                <w:sz w:val="24"/>
                <w:szCs w:val="24"/>
                <w:lang w:val="en-US"/>
              </w:rPr>
              <w:t>整改后由</w:t>
            </w:r>
            <w:r>
              <w:rPr>
                <w:rFonts w:hint="eastAsia" w:ascii="方正仿宋_GBK" w:eastAsia="方正仿宋_GBK"/>
                <w:color w:val="000000"/>
                <w:sz w:val="24"/>
                <w:szCs w:val="24"/>
                <w:lang w:val="en-US" w:eastAsia="zh-CN"/>
              </w:rPr>
              <w:t>街镇</w:t>
            </w:r>
            <w:r>
              <w:rPr>
                <w:rFonts w:hint="eastAsia" w:ascii="方正仿宋_GBK" w:eastAsia="方正仿宋_GBK"/>
                <w:color w:val="000000"/>
                <w:sz w:val="24"/>
                <w:szCs w:val="24"/>
                <w:lang w:val="en-US"/>
              </w:rPr>
              <w:t>牵头组织验收，相关部门、物业服务企业和业主代表参与，验收资料应收集整理并及时归档备查。</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街镇、区</w:t>
            </w:r>
            <w:r>
              <w:rPr>
                <w:rFonts w:ascii="方正仿宋_GBK" w:eastAsia="方正仿宋_GBK"/>
                <w:color w:val="000000"/>
                <w:sz w:val="24"/>
                <w:szCs w:val="24"/>
              </w:rPr>
              <w:t>住房城乡建委、</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gridAfter w:val="1"/>
          <w:wAfter w:w="223" w:type="dxa"/>
          <w:trHeight w:val="1396" w:hRule="exac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强化后续维护管理</w:t>
            </w: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2</w:t>
            </w:r>
            <w:r>
              <w:rPr>
                <w:rFonts w:hint="eastAsia" w:ascii="方正仿宋_GBK" w:eastAsia="方正仿宋_GBK"/>
                <w:color w:val="000000"/>
                <w:sz w:val="24"/>
                <w:szCs w:val="24"/>
                <w:lang w:eastAsia="zh-CN"/>
              </w:rPr>
              <w:t>1</w:t>
            </w:r>
            <w:r>
              <w:rPr>
                <w:rFonts w:ascii="方正仿宋_GBK" w:eastAsia="方正仿宋_GBK"/>
                <w:color w:val="000000"/>
                <w:sz w:val="24"/>
                <w:szCs w:val="24"/>
              </w:rPr>
              <w:t>.</w:t>
            </w:r>
            <w:r>
              <w:rPr>
                <w:rFonts w:hint="eastAsia" w:ascii="方正仿宋_GBK" w:eastAsia="方正仿宋_GBK"/>
                <w:color w:val="000000"/>
                <w:sz w:val="24"/>
                <w:szCs w:val="24"/>
                <w:lang w:val="en-US"/>
              </w:rPr>
              <w:t xml:space="preserve">消防设施隐患整改完毕的高层建筑，必须逐栋明确日常管理单位和维护保养单位。 </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住房城乡建委、</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gridAfter w:val="1"/>
          <w:wAfter w:w="223" w:type="dxa"/>
          <w:trHeight w:val="1416" w:hRule="exact"/>
          <w:jc w:val="center"/>
        </w:trPr>
        <w:tc>
          <w:tcPr>
            <w:tcW w:w="1368" w:type="dxa"/>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lang w:eastAsia="zh-CN"/>
              </w:rPr>
            </w:pP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lang w:eastAsia="zh-CN"/>
              </w:rPr>
            </w:pPr>
            <w:r>
              <w:rPr>
                <w:rFonts w:ascii="方正仿宋_GBK" w:eastAsia="方正仿宋_GBK"/>
                <w:color w:val="000000"/>
                <w:sz w:val="24"/>
                <w:szCs w:val="24"/>
                <w:lang w:val="en-US"/>
              </w:rPr>
              <w:t>2</w:t>
            </w:r>
            <w:r>
              <w:rPr>
                <w:rFonts w:hint="eastAsia" w:ascii="方正仿宋_GBK" w:eastAsia="方正仿宋_GBK"/>
                <w:color w:val="000000"/>
                <w:sz w:val="24"/>
                <w:szCs w:val="24"/>
                <w:lang w:val="en-US" w:eastAsia="zh-CN"/>
              </w:rPr>
              <w:t>2</w:t>
            </w:r>
            <w:r>
              <w:rPr>
                <w:rFonts w:ascii="方正仿宋_GBK" w:eastAsia="方正仿宋_GBK"/>
                <w:color w:val="000000"/>
                <w:sz w:val="24"/>
                <w:szCs w:val="24"/>
                <w:lang w:val="en-US"/>
              </w:rPr>
              <w:t>.</w:t>
            </w:r>
            <w:r>
              <w:rPr>
                <w:rFonts w:hint="eastAsia" w:ascii="方正仿宋_GBK" w:eastAsia="方正仿宋_GBK"/>
                <w:color w:val="000000"/>
                <w:sz w:val="24"/>
                <w:szCs w:val="24"/>
              </w:rPr>
              <w:t>对</w:t>
            </w:r>
            <w:r>
              <w:rPr>
                <w:rFonts w:hint="eastAsia" w:ascii="方正仿宋_GBK" w:eastAsia="方正仿宋_GBK"/>
                <w:color w:val="000000"/>
                <w:sz w:val="24"/>
                <w:szCs w:val="24"/>
                <w:lang w:val="en-US" w:eastAsia="zh-CN"/>
              </w:rPr>
              <w:t>老旧小区或无统一管理的，由政府指定日常管理单位；对政府资金投入改造且无统一管理的，鼓励采取购买服务方式 加强后续维护管理。</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sz w:val="24"/>
                <w:szCs w:val="24"/>
              </w:rPr>
            </w:pPr>
            <w:r>
              <w:rPr>
                <w:rFonts w:ascii="方正仿宋_GBK" w:eastAsia="方正仿宋_GBK"/>
                <w:sz w:val="24"/>
                <w:szCs w:val="24"/>
                <w:lang w:val="en-US"/>
              </w:rPr>
              <w:t>各</w:t>
            </w:r>
            <w:r>
              <w:rPr>
                <w:rFonts w:hint="eastAsia" w:ascii="方正仿宋_GBK" w:eastAsia="方正仿宋_GBK"/>
                <w:sz w:val="24"/>
                <w:szCs w:val="24"/>
                <w:lang w:val="en-US"/>
              </w:rPr>
              <w:t>街镇</w:t>
            </w:r>
          </w:p>
        </w:tc>
      </w:tr>
      <w:tr>
        <w:tblPrEx>
          <w:tblCellMar>
            <w:top w:w="0" w:type="dxa"/>
            <w:left w:w="10" w:type="dxa"/>
            <w:bottom w:w="0" w:type="dxa"/>
            <w:right w:w="10" w:type="dxa"/>
          </w:tblCellMar>
        </w:tblPrEx>
        <w:trPr>
          <w:gridAfter w:val="1"/>
          <w:wAfter w:w="223" w:type="dxa"/>
          <w:trHeight w:val="1687" w:hRule="exact"/>
          <w:jc w:val="center"/>
        </w:trPr>
        <w:tc>
          <w:tcPr>
            <w:tcW w:w="1368"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巩固联合执法和联动响应机制</w:t>
            </w:r>
            <w:r>
              <w:rPr>
                <w:rFonts w:ascii="方正仿宋_GBK" w:eastAsia="方正仿宋_GBK"/>
                <w:color w:val="000000"/>
                <w:sz w:val="24"/>
                <w:szCs w:val="24"/>
              </w:rPr>
              <w:t>（牵头 单位：</w:t>
            </w:r>
            <w:r>
              <w:rPr>
                <w:rFonts w:hint="eastAsia" w:ascii="方正仿宋_GBK" w:eastAsia="方正仿宋_GBK"/>
                <w:color w:val="000000"/>
                <w:sz w:val="24"/>
                <w:szCs w:val="24"/>
              </w:rPr>
              <w:t>区</w:t>
            </w:r>
            <w:r>
              <w:rPr>
                <w:rFonts w:hint="eastAsia" w:ascii="方正仿宋_GBK" w:eastAsia="方正仿宋_GBK"/>
                <w:color w:val="000000"/>
                <w:sz w:val="24"/>
                <w:szCs w:val="24"/>
                <w:lang w:eastAsia="zh-CN"/>
              </w:rPr>
              <w:t>城市管理局</w:t>
            </w:r>
            <w:r>
              <w:rPr>
                <w:rFonts w:ascii="方正仿宋_GBK" w:eastAsia="方正仿宋_GBK"/>
                <w:color w:val="000000"/>
                <w:sz w:val="24"/>
                <w:szCs w:val="24"/>
              </w:rPr>
              <w:t>）</w:t>
            </w:r>
          </w:p>
        </w:tc>
        <w:tc>
          <w:tcPr>
            <w:tcW w:w="1176"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加强“生命通道”联合执法</w:t>
            </w: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2</w:t>
            </w:r>
            <w:r>
              <w:rPr>
                <w:rFonts w:hint="eastAsia" w:ascii="方正仿宋_GBK" w:eastAsia="方正仿宋_GBK"/>
                <w:color w:val="000000"/>
                <w:sz w:val="24"/>
                <w:szCs w:val="24"/>
                <w:lang w:eastAsia="zh-CN"/>
              </w:rPr>
              <w:t>3</w:t>
            </w:r>
            <w:r>
              <w:rPr>
                <w:rFonts w:ascii="方正仿宋_GBK" w:eastAsia="方正仿宋_GBK"/>
                <w:color w:val="000000"/>
                <w:sz w:val="24"/>
                <w:szCs w:val="24"/>
              </w:rPr>
              <w:t>.</w:t>
            </w:r>
            <w:r>
              <w:rPr>
                <w:rFonts w:hint="eastAsia" w:ascii="方正仿宋_GBK" w:eastAsia="方正仿宋_GBK"/>
                <w:color w:val="000000"/>
                <w:sz w:val="24"/>
                <w:szCs w:val="24"/>
                <w:lang w:val="en-US"/>
              </w:rPr>
              <w:t>进一步落实“生命通道”监管执法长效机制和严格执法管理要求，健全完善会商研判、联合执法、信息共享机制，常态化开展联合执法，在重点时段、重点区域开展集中执法，保持整治高压态势。</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各街镇，</w:t>
            </w:r>
            <w:r>
              <w:rPr>
                <w:rFonts w:hint="eastAsia" w:ascii="方正仿宋_GBK" w:eastAsia="方正仿宋_GBK"/>
                <w:color w:val="000000"/>
                <w:sz w:val="24"/>
                <w:szCs w:val="24"/>
              </w:rPr>
              <w:t>区</w:t>
            </w:r>
            <w:r>
              <w:rPr>
                <w:rFonts w:ascii="方正仿宋_GBK" w:eastAsia="方正仿宋_GBK"/>
                <w:color w:val="000000"/>
                <w:sz w:val="24"/>
                <w:szCs w:val="24"/>
              </w:rPr>
              <w:t>城市管理局</w:t>
            </w:r>
            <w:r>
              <w:rPr>
                <w:rFonts w:hint="eastAsia" w:ascii="方正仿宋_GBK" w:eastAsia="方正仿宋_GBK"/>
                <w:color w:val="000000"/>
                <w:sz w:val="24"/>
                <w:szCs w:val="24"/>
                <w:lang w:eastAsia="zh-CN"/>
              </w:rPr>
              <w:t>、区公安局、</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gridAfter w:val="1"/>
          <w:wAfter w:w="223" w:type="dxa"/>
          <w:trHeight w:val="1388" w:hRule="exac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5013" w:type="dxa"/>
            <w:gridSpan w:val="2"/>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2</w:t>
            </w:r>
            <w:r>
              <w:rPr>
                <w:rFonts w:hint="eastAsia" w:ascii="方正仿宋_GBK" w:eastAsia="方正仿宋_GBK"/>
                <w:color w:val="000000"/>
                <w:sz w:val="24"/>
                <w:szCs w:val="24"/>
                <w:lang w:eastAsia="zh-CN"/>
              </w:rPr>
              <w:t>4</w:t>
            </w:r>
            <w:r>
              <w:rPr>
                <w:rFonts w:ascii="方正仿宋_GBK" w:eastAsia="方正仿宋_GBK"/>
                <w:color w:val="000000"/>
                <w:sz w:val="24"/>
                <w:szCs w:val="24"/>
              </w:rPr>
              <w:t>.</w:t>
            </w:r>
            <w:r>
              <w:rPr>
                <w:rFonts w:hint="eastAsia" w:ascii="方正仿宋_GBK" w:eastAsia="方正仿宋_GBK"/>
                <w:color w:val="000000"/>
                <w:sz w:val="24"/>
                <w:szCs w:val="24"/>
                <w:lang w:val="en-US"/>
              </w:rPr>
              <w:t>持续开展整治曝光行动，对公务车辆占用消防车通道的，对相关责任人依法</w:t>
            </w:r>
            <w:r>
              <w:rPr>
                <w:rFonts w:hint="eastAsia" w:ascii="方正仿宋_GBK" w:eastAsia="方正仿宋_GBK"/>
                <w:color w:val="000000"/>
                <w:sz w:val="24"/>
                <w:szCs w:val="24"/>
                <w:lang w:val="en-US" w:eastAsia="zh-CN"/>
              </w:rPr>
              <w:t>依规</w:t>
            </w:r>
            <w:r>
              <w:rPr>
                <w:rFonts w:hint="eastAsia" w:ascii="方正仿宋_GBK" w:eastAsia="方正仿宋_GBK"/>
                <w:color w:val="000000"/>
                <w:sz w:val="24"/>
                <w:szCs w:val="24"/>
                <w:lang w:val="en-US"/>
              </w:rPr>
              <w:t>处理</w:t>
            </w:r>
            <w:r>
              <w:rPr>
                <w:rFonts w:hint="eastAsia" w:ascii="方正仿宋_GBK" w:eastAsia="方正仿宋_GBK"/>
                <w:color w:val="000000"/>
                <w:sz w:val="24"/>
                <w:szCs w:val="24"/>
                <w:lang w:val="en-US" w:eastAsia="zh-CN"/>
              </w:rPr>
              <w:t>。</w:t>
            </w:r>
          </w:p>
        </w:tc>
        <w:tc>
          <w:tcPr>
            <w:tcW w:w="1941" w:type="dxa"/>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城市管理局、</w:t>
            </w:r>
            <w:r>
              <w:rPr>
                <w:rFonts w:hint="eastAsia" w:ascii="方正仿宋_GBK" w:eastAsia="方正仿宋_GBK"/>
                <w:color w:val="000000"/>
                <w:sz w:val="24"/>
                <w:szCs w:val="24"/>
                <w:lang w:val="en-US"/>
              </w:rPr>
              <w:t>区公安局</w:t>
            </w:r>
            <w:r>
              <w:rPr>
                <w:rFonts w:ascii="方正仿宋_GBK" w:eastAsia="方正仿宋_GBK"/>
                <w:color w:val="000000"/>
                <w:sz w:val="24"/>
                <w:szCs w:val="24"/>
                <w:lang w:val="en-US"/>
              </w:rPr>
              <w:t>、</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消防救援</w:t>
            </w:r>
            <w:r>
              <w:rPr>
                <w:rFonts w:hint="eastAsia" w:ascii="方正仿宋_GBK" w:eastAsia="方正仿宋_GBK"/>
                <w:color w:val="000000"/>
                <w:sz w:val="24"/>
                <w:szCs w:val="24"/>
                <w:lang w:val="en-US"/>
              </w:rPr>
              <w:t>支</w:t>
            </w:r>
            <w:r>
              <w:rPr>
                <w:rFonts w:ascii="方正仿宋_GBK" w:eastAsia="方正仿宋_GBK"/>
                <w:color w:val="000000"/>
                <w:sz w:val="24"/>
                <w:szCs w:val="24"/>
                <w:lang w:val="en-US"/>
              </w:rPr>
              <w:t>队</w:t>
            </w:r>
          </w:p>
        </w:tc>
      </w:tr>
      <w:tr>
        <w:tblPrEx>
          <w:tblCellMar>
            <w:top w:w="0" w:type="dxa"/>
            <w:left w:w="10" w:type="dxa"/>
            <w:bottom w:w="0" w:type="dxa"/>
            <w:right w:w="10" w:type="dxa"/>
          </w:tblCellMar>
        </w:tblPrEx>
        <w:trPr>
          <w:gridAfter w:val="1"/>
          <w:wAfter w:w="223" w:type="dxa"/>
          <w:trHeight w:val="2446" w:hRule="exact"/>
          <w:jc w:val="center"/>
        </w:trPr>
        <w:tc>
          <w:tcPr>
            <w:tcW w:w="1368" w:type="dxa"/>
            <w:vMerge w:val="continue"/>
            <w:tcBorders>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tcBorders>
              <w:top w:val="single" w:color="auto" w:sz="4" w:space="0"/>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巩固完善联动响应机制</w:t>
            </w:r>
          </w:p>
        </w:tc>
        <w:tc>
          <w:tcPr>
            <w:tcW w:w="5013" w:type="dxa"/>
            <w:gridSpan w:val="2"/>
            <w:tcBorders>
              <w:top w:val="single" w:color="auto" w:sz="4" w:space="0"/>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25</w:t>
            </w:r>
            <w:r>
              <w:rPr>
                <w:rFonts w:ascii="方正仿宋_GBK" w:eastAsia="方正仿宋_GBK"/>
                <w:color w:val="000000"/>
                <w:sz w:val="24"/>
                <w:szCs w:val="24"/>
              </w:rPr>
              <w:t>.</w:t>
            </w:r>
            <w:r>
              <w:rPr>
                <w:rFonts w:hint="eastAsia" w:ascii="方正仿宋_GBK" w:eastAsia="方正仿宋_GBK"/>
                <w:color w:val="000000"/>
                <w:sz w:val="24"/>
                <w:szCs w:val="24"/>
                <w:lang w:val="en-US"/>
              </w:rPr>
              <w:t>巩固完善“绿波带保畅”联动机制，深化公安、消防警情联动响应机制，通过交通管制、车辆分流、拖离清障、优化信号灯配时、骁骑伴护等措施，确保救援畅通无阻。</w:t>
            </w:r>
          </w:p>
        </w:tc>
        <w:tc>
          <w:tcPr>
            <w:tcW w:w="19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区公安局</w:t>
            </w:r>
            <w:r>
              <w:rPr>
                <w:rFonts w:hint="eastAsia" w:ascii="方正仿宋_GBK" w:eastAsia="方正仿宋_GBK"/>
                <w:color w:val="000000"/>
                <w:sz w:val="24"/>
                <w:szCs w:val="24"/>
              </w:rPr>
              <w:t>、区</w:t>
            </w:r>
            <w:r>
              <w:rPr>
                <w:rFonts w:hint="eastAsia" w:ascii="方正仿宋_GBK" w:eastAsia="方正仿宋_GBK"/>
                <w:color w:val="000000"/>
                <w:sz w:val="24"/>
                <w:szCs w:val="24"/>
                <w:lang w:eastAsia="zh-CN"/>
              </w:rPr>
              <w:t>消防救援支队</w:t>
            </w:r>
          </w:p>
        </w:tc>
      </w:tr>
      <w:tr>
        <w:tblPrEx>
          <w:tblCellMar>
            <w:top w:w="0" w:type="dxa"/>
            <w:left w:w="10" w:type="dxa"/>
            <w:bottom w:w="0" w:type="dxa"/>
            <w:right w:w="10" w:type="dxa"/>
          </w:tblCellMar>
        </w:tblPrEx>
        <w:trPr>
          <w:trHeight w:val="485" w:hRule="exact"/>
          <w:jc w:val="center"/>
        </w:trPr>
        <w:tc>
          <w:tcPr>
            <w:tcW w:w="1368"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专项行动</w:t>
            </w: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工作任务</w:t>
            </w: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 作 内 容</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责任单位</w:t>
            </w:r>
          </w:p>
        </w:tc>
      </w:tr>
      <w:tr>
        <w:tblPrEx>
          <w:tblCellMar>
            <w:top w:w="0" w:type="dxa"/>
            <w:left w:w="10" w:type="dxa"/>
            <w:bottom w:w="0" w:type="dxa"/>
            <w:right w:w="10" w:type="dxa"/>
          </w:tblCellMar>
        </w:tblPrEx>
        <w:trPr>
          <w:trHeight w:val="2228" w:hRule="exact"/>
          <w:jc w:val="center"/>
        </w:trPr>
        <w:tc>
          <w:tcPr>
            <w:tcW w:w="1368"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提升消防安全管理能力</w:t>
            </w:r>
            <w:r>
              <w:rPr>
                <w:rFonts w:hint="eastAsia" w:ascii="方正仿宋_GBK" w:eastAsia="方正仿宋_GBK"/>
                <w:color w:val="000000"/>
                <w:sz w:val="24"/>
                <w:szCs w:val="24"/>
                <w:lang w:eastAsia="zh-CN"/>
              </w:rPr>
              <w:t>（</w:t>
            </w:r>
            <w:r>
              <w:rPr>
                <w:rFonts w:ascii="方正仿宋_GBK" w:eastAsia="方正仿宋_GBK"/>
                <w:color w:val="000000"/>
                <w:sz w:val="24"/>
                <w:szCs w:val="24"/>
              </w:rPr>
              <w:t>牵头单位：</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lang w:eastAsia="zh-CN"/>
              </w:rPr>
              <w:t>）</w:t>
            </w: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规范日常管理</w:t>
            </w: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26</w:t>
            </w:r>
            <w:r>
              <w:rPr>
                <w:rFonts w:ascii="方正仿宋_GBK" w:eastAsia="方正仿宋_GBK"/>
                <w:color w:val="000000"/>
                <w:sz w:val="24"/>
                <w:szCs w:val="24"/>
              </w:rPr>
              <w:t>.</w:t>
            </w:r>
            <w:r>
              <w:rPr>
                <w:rFonts w:hint="eastAsia" w:ascii="方正仿宋_GBK" w:eastAsia="方正仿宋_GBK"/>
                <w:color w:val="000000"/>
                <w:sz w:val="24"/>
                <w:szCs w:val="24"/>
                <w:lang w:val="en-US"/>
              </w:rPr>
              <w:t>高层建筑逐栋明确消防安全管理单位和</w:t>
            </w:r>
            <w:r>
              <w:rPr>
                <w:rFonts w:hint="eastAsia" w:ascii="方正仿宋_GBK" w:eastAsia="方正仿宋_GBK"/>
                <w:color w:val="000000"/>
                <w:sz w:val="24"/>
                <w:szCs w:val="24"/>
                <w:lang w:val="en-US" w:eastAsia="zh-CN"/>
              </w:rPr>
              <w:t>消</w:t>
            </w:r>
            <w:r>
              <w:rPr>
                <w:rFonts w:hint="eastAsia" w:ascii="方正仿宋_GBK" w:eastAsia="方正仿宋_GBK"/>
                <w:color w:val="000000"/>
                <w:sz w:val="24"/>
                <w:szCs w:val="24"/>
                <w:lang w:val="en-US"/>
              </w:rPr>
              <w:t>防设施维护保养单位，高层公共建筑逐栋明确消防安全管理人、高层住宅建筑逐栋明确楼栋长，落实消防控制室双人持证上岗制度，规范防火巡查检查、消防设施维护保养工作，并在显著位置公示。</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CellMar>
            <w:top w:w="0" w:type="dxa"/>
            <w:left w:w="10" w:type="dxa"/>
            <w:bottom w:w="0" w:type="dxa"/>
            <w:right w:w="10" w:type="dxa"/>
          </w:tblCellMar>
        </w:tblPrEx>
        <w:trPr>
          <w:trHeight w:val="1266" w:hRule="exact"/>
          <w:jc w:val="center"/>
        </w:trPr>
        <w:tc>
          <w:tcPr>
            <w:tcW w:w="1368" w:type="dxa"/>
            <w:vMerge w:val="continue"/>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落实网格化管理</w:t>
            </w: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27.</w:t>
            </w:r>
            <w:r>
              <w:rPr>
                <w:rFonts w:hint="eastAsia" w:ascii="方正仿宋_GBK" w:eastAsia="方正仿宋_GBK"/>
                <w:color w:val="000000"/>
                <w:sz w:val="24"/>
                <w:szCs w:val="24"/>
                <w:lang w:val="en-US" w:eastAsia="zh-CN"/>
              </w:rPr>
              <w:t>各街镇将高层建筑消防安全风险排查纳入网格化管理重点，在街镇依法开展委托执法，督促指导隐患及时整改。</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各街镇</w:t>
            </w:r>
          </w:p>
        </w:tc>
      </w:tr>
      <w:tr>
        <w:tblPrEx>
          <w:tblCellMar>
            <w:top w:w="0" w:type="dxa"/>
            <w:left w:w="10" w:type="dxa"/>
            <w:bottom w:w="0" w:type="dxa"/>
            <w:right w:w="10" w:type="dxa"/>
          </w:tblCellMar>
        </w:tblPrEx>
        <w:trPr>
          <w:trHeight w:val="1130" w:hRule="exac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执行标准化管理</w:t>
            </w: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28</w:t>
            </w:r>
            <w:r>
              <w:rPr>
                <w:rFonts w:ascii="方正仿宋_GBK" w:eastAsia="方正仿宋_GBK"/>
                <w:color w:val="000000"/>
                <w:sz w:val="24"/>
                <w:szCs w:val="24"/>
              </w:rPr>
              <w:t>.</w:t>
            </w:r>
            <w:r>
              <w:rPr>
                <w:rFonts w:hint="eastAsia" w:ascii="方正仿宋_GBK" w:eastAsia="方正仿宋_GBK"/>
                <w:color w:val="000000"/>
                <w:sz w:val="24"/>
                <w:szCs w:val="24"/>
                <w:lang w:val="en-US"/>
              </w:rPr>
              <w:t>选取</w:t>
            </w:r>
            <w:r>
              <w:rPr>
                <w:rFonts w:hint="eastAsia" w:ascii="方正仿宋_GBK" w:eastAsia="方正仿宋_GBK"/>
                <w:color w:val="000000"/>
                <w:sz w:val="24"/>
                <w:szCs w:val="24"/>
                <w:lang w:val="en-US" w:eastAsia="zh-CN"/>
              </w:rPr>
              <w:t>辖区</w:t>
            </w:r>
            <w:r>
              <w:rPr>
                <w:rFonts w:hint="eastAsia" w:ascii="方正仿宋_GBK" w:eastAsia="方正仿宋_GBK"/>
                <w:color w:val="000000"/>
                <w:sz w:val="24"/>
                <w:szCs w:val="24"/>
                <w:lang w:val="en-US"/>
              </w:rPr>
              <w:t>典型高层建</w:t>
            </w:r>
            <w:r>
              <w:rPr>
                <w:rFonts w:hint="eastAsia" w:ascii="方正仿宋_GBK" w:eastAsia="方正仿宋_GBK"/>
                <w:color w:val="000000"/>
                <w:sz w:val="24"/>
                <w:szCs w:val="24"/>
                <w:lang w:val="en-US" w:eastAsia="zh-CN"/>
              </w:rPr>
              <w:t>筑</w:t>
            </w:r>
            <w:r>
              <w:rPr>
                <w:rFonts w:hint="eastAsia" w:ascii="方正仿宋_GBK" w:eastAsia="方正仿宋_GBK"/>
                <w:color w:val="000000"/>
                <w:sz w:val="24"/>
                <w:szCs w:val="24"/>
                <w:lang w:val="en-US"/>
              </w:rPr>
              <w:t>打造消防管理示范标杆，组织召开标准化管理现场会，推行达标创建活动。</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rPr>
              <w:t>区</w:t>
            </w:r>
            <w:r>
              <w:rPr>
                <w:rFonts w:ascii="方正仿宋_GBK" w:eastAsia="方正仿宋_GBK"/>
                <w:color w:val="000000"/>
                <w:sz w:val="24"/>
                <w:szCs w:val="24"/>
              </w:rPr>
              <w:t>住房城乡建委、</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trHeight w:val="358" w:hRule="atLeas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699"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29</w:t>
            </w:r>
            <w:r>
              <w:rPr>
                <w:rFonts w:ascii="方正仿宋_GBK" w:eastAsia="方正仿宋_GBK"/>
                <w:color w:val="000000"/>
                <w:sz w:val="24"/>
                <w:szCs w:val="24"/>
              </w:rPr>
              <w:t>.</w:t>
            </w:r>
            <w:r>
              <w:rPr>
                <w:rFonts w:hint="eastAsia" w:ascii="方正仿宋_GBK" w:eastAsia="方正仿宋_GBK"/>
                <w:color w:val="000000"/>
                <w:sz w:val="24"/>
                <w:szCs w:val="24"/>
                <w:lang w:val="en-US"/>
              </w:rPr>
              <w:t>探索高层建筑实施分级分类差异化监管。将消防管理能力纳入物业服务企业评级评星考核内容。</w:t>
            </w:r>
          </w:p>
        </w:tc>
        <w:tc>
          <w:tcPr>
            <w:tcW w:w="2478" w:type="dxa"/>
            <w:gridSpan w:val="3"/>
            <w:vMerge w:val="restart"/>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CellMar>
            <w:top w:w="0" w:type="dxa"/>
            <w:left w:w="10" w:type="dxa"/>
            <w:bottom w:w="0" w:type="dxa"/>
            <w:right w:w="10" w:type="dxa"/>
          </w:tblCellMar>
        </w:tblPrEx>
        <w:trPr>
          <w:trHeight w:val="703" w:hRule="exact"/>
          <w:jc w:val="center"/>
        </w:trPr>
        <w:tc>
          <w:tcPr>
            <w:tcW w:w="1368" w:type="dxa"/>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699"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p>
        </w:tc>
        <w:tc>
          <w:tcPr>
            <w:tcW w:w="2478" w:type="dxa"/>
            <w:gridSpan w:val="3"/>
            <w:vMerge w:val="continue"/>
            <w:tcBorders>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p>
        </w:tc>
      </w:tr>
      <w:tr>
        <w:tblPrEx>
          <w:tblCellMar>
            <w:top w:w="0" w:type="dxa"/>
            <w:left w:w="10" w:type="dxa"/>
            <w:bottom w:w="0" w:type="dxa"/>
            <w:right w:w="10" w:type="dxa"/>
          </w:tblCellMar>
        </w:tblPrEx>
        <w:trPr>
          <w:trHeight w:val="66" w:hRule="exact"/>
          <w:jc w:val="center"/>
        </w:trPr>
        <w:tc>
          <w:tcPr>
            <w:tcW w:w="1368" w:type="dxa"/>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699"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p>
        </w:tc>
        <w:tc>
          <w:tcPr>
            <w:tcW w:w="2478" w:type="dxa"/>
            <w:gridSpan w:val="3"/>
            <w:vMerge w:val="continue"/>
            <w:tcBorders>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p>
        </w:tc>
      </w:tr>
      <w:tr>
        <w:tblPrEx>
          <w:tblCellMar>
            <w:top w:w="0" w:type="dxa"/>
            <w:left w:w="10" w:type="dxa"/>
            <w:bottom w:w="0" w:type="dxa"/>
            <w:right w:w="10" w:type="dxa"/>
          </w:tblCellMar>
        </w:tblPrEx>
        <w:trPr>
          <w:trHeight w:val="1080" w:hRule="exact"/>
          <w:jc w:val="center"/>
        </w:trPr>
        <w:tc>
          <w:tcPr>
            <w:tcW w:w="1368"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ascii="方正仿宋_GBK" w:eastAsia="方正仿宋_GBK"/>
                <w:color w:val="000000"/>
                <w:sz w:val="24"/>
                <w:szCs w:val="24"/>
              </w:rPr>
              <w:t>提升居民</w:t>
            </w:r>
            <w:r>
              <w:rPr>
                <w:rFonts w:hint="eastAsia" w:ascii="方正仿宋_GBK" w:eastAsia="方正仿宋_GBK"/>
                <w:color w:val="000000"/>
                <w:sz w:val="24"/>
                <w:szCs w:val="24"/>
                <w:lang w:eastAsia="zh-CN"/>
              </w:rPr>
              <w:t>防灾应急能力</w:t>
            </w:r>
            <w:r>
              <w:rPr>
                <w:rFonts w:ascii="方正仿宋_GBK" w:eastAsia="方正仿宋_GBK"/>
                <w:color w:val="000000"/>
                <w:sz w:val="24"/>
                <w:szCs w:val="24"/>
              </w:rPr>
              <w:t>（牵头 单位：</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c>
          <w:tcPr>
            <w:tcW w:w="1176"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r>
              <w:rPr>
                <w:rFonts w:ascii="方正仿宋_GBK" w:eastAsia="方正仿宋_GBK"/>
                <w:color w:val="000000"/>
                <w:sz w:val="24"/>
                <w:szCs w:val="24"/>
              </w:rPr>
              <w:t>深化消防</w:t>
            </w:r>
            <w:r>
              <w:rPr>
                <w:rFonts w:hint="eastAsia" w:ascii="方正仿宋_GBK" w:eastAsia="方正仿宋_GBK"/>
                <w:color w:val="000000"/>
                <w:sz w:val="24"/>
                <w:szCs w:val="24"/>
                <w:lang w:eastAsia="zh-CN"/>
              </w:rPr>
              <w:t>安全</w:t>
            </w:r>
            <w:r>
              <w:rPr>
                <w:rFonts w:ascii="方正仿宋_GBK" w:eastAsia="方正仿宋_GBK"/>
                <w:color w:val="000000"/>
                <w:sz w:val="24"/>
                <w:szCs w:val="24"/>
              </w:rPr>
              <w:t>宣传</w:t>
            </w: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3</w:t>
            </w:r>
            <w:r>
              <w:rPr>
                <w:rFonts w:hint="eastAsia" w:ascii="方正仿宋_GBK" w:eastAsia="方正仿宋_GBK"/>
                <w:color w:val="000000"/>
                <w:sz w:val="24"/>
                <w:szCs w:val="24"/>
                <w:lang w:eastAsia="zh-CN"/>
              </w:rPr>
              <w:t>0.</w:t>
            </w:r>
            <w:r>
              <w:rPr>
                <w:rFonts w:hint="eastAsia" w:ascii="方正仿宋_GBK" w:eastAsia="方正仿宋_GBK"/>
                <w:color w:val="000000"/>
                <w:sz w:val="24"/>
                <w:szCs w:val="24"/>
                <w:lang w:val="en-US"/>
              </w:rPr>
              <w:t>将“自觉维护建筑消防设施”、“畅通生命通道”等内容纳入全民普法范畴。</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，区司法局、区委宣传部、</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trHeight w:val="962" w:hRule="atLeas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3</w:t>
            </w:r>
            <w:r>
              <w:rPr>
                <w:rFonts w:hint="eastAsia" w:ascii="方正仿宋_GBK" w:eastAsia="方正仿宋_GBK"/>
                <w:color w:val="000000"/>
                <w:sz w:val="24"/>
                <w:szCs w:val="24"/>
                <w:lang w:eastAsia="zh-CN"/>
              </w:rPr>
              <w:t>1</w:t>
            </w:r>
            <w:r>
              <w:rPr>
                <w:rFonts w:ascii="方正仿宋_GBK" w:eastAsia="方正仿宋_GBK"/>
                <w:color w:val="000000"/>
                <w:sz w:val="24"/>
                <w:szCs w:val="24"/>
              </w:rPr>
              <w:t>.</w:t>
            </w:r>
            <w:r>
              <w:rPr>
                <w:rFonts w:hint="eastAsia" w:ascii="方正仿宋_GBK" w:eastAsia="方正仿宋_GBK"/>
                <w:color w:val="000000"/>
                <w:sz w:val="24"/>
                <w:szCs w:val="24"/>
                <w:lang w:val="en-US"/>
              </w:rPr>
              <w:t>依托“全民消防安全学习云平台”，精准开展消防教育培训。</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both"/>
              <w:textAlignment w:val="auto"/>
              <w:rPr>
                <w:rFonts w:ascii="方正仿宋_GBK" w:eastAsia="方正仿宋_GBK"/>
                <w:color w:val="000000"/>
                <w:sz w:val="24"/>
                <w:szCs w:val="24"/>
                <w:lang w:eastAsia="zh-CN"/>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lang w:val="en-US" w:eastAsia="zh-CN"/>
              </w:rPr>
              <w:t>区</w:t>
            </w:r>
            <w:r>
              <w:rPr>
                <w:rFonts w:ascii="方正仿宋_GBK" w:eastAsia="方正仿宋_GBK"/>
                <w:color w:val="000000"/>
                <w:sz w:val="24"/>
                <w:szCs w:val="24"/>
                <w:lang w:val="en-US" w:eastAsia="zh-CN"/>
              </w:rPr>
              <w:t>消防救援</w:t>
            </w:r>
            <w:r>
              <w:rPr>
                <w:rFonts w:hint="eastAsia" w:ascii="方正仿宋_GBK" w:eastAsia="方正仿宋_GBK"/>
                <w:color w:val="000000"/>
                <w:sz w:val="24"/>
                <w:szCs w:val="24"/>
                <w:lang w:val="en-US" w:eastAsia="zh-CN"/>
              </w:rPr>
              <w:t>支</w:t>
            </w:r>
            <w:r>
              <w:rPr>
                <w:rFonts w:ascii="方正仿宋_GBK" w:eastAsia="方正仿宋_GBK"/>
                <w:color w:val="000000"/>
                <w:sz w:val="24"/>
                <w:szCs w:val="24"/>
                <w:lang w:val="en-US" w:eastAsia="zh-CN"/>
              </w:rPr>
              <w:t>队</w:t>
            </w:r>
          </w:p>
        </w:tc>
      </w:tr>
      <w:tr>
        <w:tblPrEx>
          <w:tblCellMar>
            <w:top w:w="0" w:type="dxa"/>
            <w:left w:w="10" w:type="dxa"/>
            <w:bottom w:w="0" w:type="dxa"/>
            <w:right w:w="10" w:type="dxa"/>
          </w:tblCellMar>
        </w:tblPrEx>
        <w:trPr>
          <w:trHeight w:val="1564" w:hRule="exac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restart"/>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提升居民防灾能力</w:t>
            </w:r>
          </w:p>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eastAsia="方正仿宋_GBK"/>
                <w:color w:val="000000"/>
                <w:sz w:val="24"/>
                <w:szCs w:val="24"/>
                <w:lang w:eastAsia="zh-CN"/>
              </w:rPr>
            </w:pP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3</w:t>
            </w:r>
            <w:r>
              <w:rPr>
                <w:rFonts w:hint="eastAsia" w:ascii="方正仿宋_GBK" w:eastAsia="方正仿宋_GBK"/>
                <w:color w:val="000000"/>
                <w:sz w:val="24"/>
                <w:szCs w:val="24"/>
                <w:lang w:eastAsia="zh-CN"/>
              </w:rPr>
              <w:t>2</w:t>
            </w:r>
            <w:r>
              <w:rPr>
                <w:rFonts w:ascii="方正仿宋_GBK" w:eastAsia="方正仿宋_GBK"/>
                <w:color w:val="000000"/>
                <w:sz w:val="24"/>
                <w:szCs w:val="24"/>
              </w:rPr>
              <w:t>.</w:t>
            </w:r>
            <w:r>
              <w:rPr>
                <w:rFonts w:hint="eastAsia" w:ascii="方正仿宋_GBK" w:eastAsia="方正仿宋_GBK"/>
                <w:color w:val="000000"/>
                <w:sz w:val="24"/>
                <w:szCs w:val="24"/>
                <w:lang w:val="en-US"/>
              </w:rPr>
              <w:t>鼓励为老旧小区高层建筑安装独立式火灾报警探测装置，指导居民家庭制定火灾疏散逃生计划。高层住宅小区全年至少开展1次疏散逃生演练，推广购买火灾惠 民保险。</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CellMar>
            <w:top w:w="0" w:type="dxa"/>
            <w:left w:w="10" w:type="dxa"/>
            <w:bottom w:w="0" w:type="dxa"/>
            <w:right w:w="10" w:type="dxa"/>
          </w:tblCellMar>
        </w:tblPrEx>
        <w:trPr>
          <w:trHeight w:val="1274" w:hRule="exact"/>
          <w:jc w:val="center"/>
        </w:trPr>
        <w:tc>
          <w:tcPr>
            <w:tcW w:w="1368"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tcBorders>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仿宋_GBK" w:eastAsia="方正仿宋_GBK"/>
                <w:color w:val="000000"/>
                <w:sz w:val="24"/>
                <w:szCs w:val="24"/>
              </w:rPr>
            </w:pPr>
          </w:p>
        </w:tc>
        <w:tc>
          <w:tcPr>
            <w:tcW w:w="4699" w:type="dxa"/>
            <w:tcBorders>
              <w:top w:val="single" w:color="auto" w:sz="4" w:space="0"/>
              <w:lef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ascii="方正仿宋_GBK" w:eastAsia="方正仿宋_GBK"/>
                <w:color w:val="000000"/>
                <w:sz w:val="24"/>
                <w:szCs w:val="24"/>
              </w:rPr>
              <w:t>3</w:t>
            </w:r>
            <w:r>
              <w:rPr>
                <w:rFonts w:hint="eastAsia" w:ascii="方正仿宋_GBK" w:eastAsia="方正仿宋_GBK"/>
                <w:color w:val="000000"/>
                <w:sz w:val="24"/>
                <w:szCs w:val="24"/>
                <w:lang w:eastAsia="zh-CN"/>
              </w:rPr>
              <w:t>3</w:t>
            </w:r>
            <w:r>
              <w:rPr>
                <w:rFonts w:ascii="方正仿宋_GBK" w:eastAsia="方正仿宋_GBK"/>
                <w:color w:val="000000"/>
                <w:sz w:val="24"/>
                <w:szCs w:val="24"/>
              </w:rPr>
              <w:t>.</w:t>
            </w:r>
            <w:r>
              <w:rPr>
                <w:rFonts w:hint="eastAsia" w:ascii="方正仿宋_GBK" w:eastAsia="方正仿宋_GBK"/>
                <w:color w:val="000000"/>
                <w:sz w:val="24"/>
                <w:szCs w:val="24"/>
                <w:lang w:val="en-US"/>
              </w:rPr>
              <w:t>在高层公共建筑、高层住宅小区建设微型消防站，提升初起火灾的处置能力</w:t>
            </w:r>
            <w:r>
              <w:rPr>
                <w:rFonts w:hint="eastAsia" w:ascii="方正仿宋_GBK" w:eastAsia="方正仿宋_GBK"/>
                <w:color w:val="000000"/>
                <w:sz w:val="24"/>
                <w:szCs w:val="24"/>
                <w:lang w:val="en-US" w:eastAsia="zh-CN"/>
              </w:rPr>
              <w:t>。</w:t>
            </w:r>
          </w:p>
        </w:tc>
        <w:tc>
          <w:tcPr>
            <w:tcW w:w="2478" w:type="dxa"/>
            <w:gridSpan w:val="3"/>
            <w:tcBorders>
              <w:top w:val="single" w:color="auto" w:sz="4" w:space="0"/>
              <w:left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CellMar>
            <w:top w:w="0" w:type="dxa"/>
            <w:left w:w="10" w:type="dxa"/>
            <w:bottom w:w="0" w:type="dxa"/>
            <w:right w:w="10" w:type="dxa"/>
          </w:tblCellMar>
        </w:tblPrEx>
        <w:trPr>
          <w:trHeight w:val="860" w:hRule="exact"/>
          <w:jc w:val="center"/>
        </w:trPr>
        <w:tc>
          <w:tcPr>
            <w:tcW w:w="1368" w:type="dxa"/>
            <w:vMerge w:val="continue"/>
            <w:tcBorders>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tcBorders>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699" w:type="dxa"/>
            <w:tcBorders>
              <w:top w:val="single" w:color="auto" w:sz="4" w:space="0"/>
              <w:left w:val="single" w:color="auto" w:sz="4" w:space="0"/>
              <w:bottom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34.</w:t>
            </w:r>
            <w:r>
              <w:rPr>
                <w:rFonts w:hint="eastAsia" w:ascii="方正仿宋_GBK" w:eastAsia="方正仿宋_GBK"/>
                <w:color w:val="000000"/>
                <w:sz w:val="24"/>
                <w:szCs w:val="24"/>
                <w:lang w:val="en-US" w:eastAsia="zh-CN"/>
              </w:rPr>
              <w:t>开展高层建筑居民消防安全素质调查，掌握全民防灾自救能力水平。</w:t>
            </w:r>
          </w:p>
        </w:tc>
        <w:tc>
          <w:tcPr>
            <w:tcW w:w="247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lang w:val="en-US" w:eastAsia="zh-CN"/>
        </w:rPr>
      </w:pPr>
    </w:p>
    <w:tbl>
      <w:tblPr>
        <w:tblStyle w:val="9"/>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368"/>
        <w:gridCol w:w="1176"/>
        <w:gridCol w:w="482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5" w:hRule="exact"/>
          <w:jc w:val="center"/>
        </w:trPr>
        <w:tc>
          <w:tcPr>
            <w:tcW w:w="1368"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专项行动</w:t>
            </w:r>
          </w:p>
        </w:tc>
        <w:tc>
          <w:tcPr>
            <w:tcW w:w="1176"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工作任务</w:t>
            </w:r>
          </w:p>
        </w:tc>
        <w:tc>
          <w:tcPr>
            <w:tcW w:w="482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工 作 内 容</w:t>
            </w:r>
          </w:p>
        </w:tc>
        <w:tc>
          <w:tcPr>
            <w:tcW w:w="210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黑体_GBK" w:hAnsi="黑体" w:eastAsia="方正黑体_GBK"/>
                <w:color w:val="000000"/>
                <w:sz w:val="24"/>
                <w:szCs w:val="24"/>
              </w:rPr>
            </w:pPr>
            <w:r>
              <w:rPr>
                <w:rFonts w:ascii="方正黑体_GBK" w:hAnsi="黑体" w:eastAsia="方正黑体_GBK"/>
                <w:color w:val="000000"/>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1368" w:type="dxa"/>
            <w:vMerge w:val="restart"/>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提升</w:t>
            </w:r>
            <w:r>
              <w:rPr>
                <w:rFonts w:hint="eastAsia" w:ascii="方正仿宋_GBK" w:eastAsia="方正仿宋_GBK"/>
                <w:color w:val="000000"/>
                <w:sz w:val="24"/>
                <w:szCs w:val="24"/>
                <w:lang w:eastAsia="zh-CN"/>
              </w:rPr>
              <w:t>政策法规保障能力</w:t>
            </w:r>
            <w:r>
              <w:rPr>
                <w:rFonts w:ascii="方正仿宋_GBK" w:eastAsia="方正仿宋_GBK"/>
                <w:color w:val="000000"/>
                <w:sz w:val="24"/>
                <w:szCs w:val="24"/>
              </w:rPr>
              <w:t>（牵头单位：区消防救援支队）</w:t>
            </w:r>
          </w:p>
        </w:tc>
        <w:tc>
          <w:tcPr>
            <w:tcW w:w="1176" w:type="dxa"/>
            <w:vMerge w:val="restart"/>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加强政策法规保障</w:t>
            </w:r>
          </w:p>
        </w:tc>
        <w:tc>
          <w:tcPr>
            <w:tcW w:w="482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35</w:t>
            </w:r>
            <w:r>
              <w:rPr>
                <w:rFonts w:ascii="方正仿宋_GBK" w:eastAsia="方正仿宋_GBK"/>
                <w:color w:val="000000"/>
                <w:sz w:val="24"/>
                <w:szCs w:val="24"/>
              </w:rPr>
              <w:t>.</w:t>
            </w:r>
            <w:r>
              <w:rPr>
                <w:rFonts w:hint="eastAsia" w:ascii="方正仿宋_GBK" w:eastAsia="方正仿宋_GBK"/>
                <w:color w:val="000000"/>
                <w:sz w:val="24"/>
                <w:szCs w:val="24"/>
                <w:lang w:val="en-US"/>
              </w:rPr>
              <w:t>贯彻落实《重庆市消防设施管理规定》，提升物业服务企业、消防服务机构消防设施日常管理和维护保养水平。</w:t>
            </w:r>
          </w:p>
        </w:tc>
        <w:tc>
          <w:tcPr>
            <w:tcW w:w="210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rPr>
              <w:t>各</w:t>
            </w:r>
            <w:r>
              <w:rPr>
                <w:rFonts w:hint="eastAsia" w:ascii="方正仿宋_GBK" w:eastAsia="方正仿宋_GBK"/>
                <w:color w:val="000000"/>
                <w:sz w:val="24"/>
                <w:szCs w:val="24"/>
              </w:rPr>
              <w:t>街镇</w:t>
            </w:r>
            <w:r>
              <w:rPr>
                <w:rFonts w:hint="eastAsia" w:ascii="方正仿宋_GBK" w:eastAsia="方正仿宋_GBK"/>
                <w:color w:val="000000"/>
                <w:sz w:val="24"/>
                <w:szCs w:val="24"/>
                <w:lang w:eastAsia="zh-CN"/>
              </w:rPr>
              <w:t>，</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9" w:hRule="exact"/>
          <w:jc w:val="center"/>
        </w:trPr>
        <w:tc>
          <w:tcPr>
            <w:tcW w:w="1368"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82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eastAsia="zh-CN"/>
              </w:rPr>
              <w:t>36</w:t>
            </w:r>
            <w:r>
              <w:rPr>
                <w:rFonts w:hint="eastAsia" w:ascii="方正仿宋_GBK" w:eastAsia="方正仿宋_GBK"/>
                <w:color w:val="000000"/>
                <w:sz w:val="24"/>
                <w:szCs w:val="24"/>
              </w:rPr>
              <w:t>.</w:t>
            </w:r>
            <w:r>
              <w:rPr>
                <w:rFonts w:hint="eastAsia" w:ascii="方正仿宋_GBK" w:eastAsia="方正仿宋_GBK"/>
                <w:color w:val="000000"/>
                <w:sz w:val="24"/>
                <w:szCs w:val="24"/>
                <w:lang w:val="en-US"/>
              </w:rPr>
              <w:t>结合市级</w:t>
            </w:r>
            <w:r>
              <w:rPr>
                <w:rFonts w:hint="eastAsia" w:ascii="方正仿宋_GBK" w:eastAsia="方正仿宋_GBK"/>
                <w:color w:val="000000"/>
                <w:sz w:val="24"/>
                <w:szCs w:val="24"/>
                <w:lang w:val="en-US" w:eastAsia="zh-CN"/>
              </w:rPr>
              <w:t>层面</w:t>
            </w:r>
            <w:r>
              <w:rPr>
                <w:rFonts w:hint="eastAsia" w:ascii="方正仿宋_GBK" w:eastAsia="方正仿宋_GBK"/>
                <w:color w:val="000000"/>
                <w:sz w:val="24"/>
                <w:szCs w:val="24"/>
                <w:lang w:val="en-US"/>
              </w:rPr>
              <w:t>即将出台的《建筑消防设施维护管理技术规程》，规范消防设施日常管理和维护保养。</w:t>
            </w:r>
          </w:p>
        </w:tc>
        <w:tc>
          <w:tcPr>
            <w:tcW w:w="210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9" w:hRule="exact"/>
          <w:jc w:val="center"/>
        </w:trPr>
        <w:tc>
          <w:tcPr>
            <w:tcW w:w="1368"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82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hint="eastAsia" w:ascii="方正仿宋_GBK" w:eastAsia="方正仿宋_GBK"/>
                <w:color w:val="000000"/>
                <w:sz w:val="24"/>
                <w:szCs w:val="24"/>
                <w:lang w:val="en-US"/>
              </w:rPr>
              <w:t>37. 结合《消防安全管理标识》，对消防车通道、消防车登高操作场地提出更加符合</w:t>
            </w:r>
            <w:r>
              <w:rPr>
                <w:rFonts w:hint="eastAsia" w:ascii="方正仿宋_GBK" w:eastAsia="方正仿宋_GBK"/>
                <w:color w:val="000000"/>
                <w:sz w:val="24"/>
                <w:szCs w:val="24"/>
                <w:lang w:val="en-US" w:eastAsia="zh-CN"/>
              </w:rPr>
              <w:t>本地</w:t>
            </w:r>
            <w:r>
              <w:rPr>
                <w:rFonts w:hint="eastAsia" w:ascii="方正仿宋_GBK" w:eastAsia="方正仿宋_GBK"/>
                <w:color w:val="000000"/>
                <w:sz w:val="24"/>
                <w:szCs w:val="24"/>
                <w:lang w:val="en-US"/>
              </w:rPr>
              <w:t>实际的消防安全标识化管理要求。</w:t>
            </w:r>
          </w:p>
        </w:tc>
        <w:tc>
          <w:tcPr>
            <w:tcW w:w="210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b/>
                <w:color w:val="000000"/>
                <w:sz w:val="24"/>
                <w:szCs w:val="24"/>
                <w:lang w:eastAsia="zh-CN"/>
              </w:rPr>
            </w:pPr>
            <w:r>
              <w:rPr>
                <w:rFonts w:ascii="方正仿宋_GBK" w:eastAsia="方正仿宋_GBK"/>
                <w:color w:val="000000"/>
                <w:sz w:val="24"/>
                <w:szCs w:val="24"/>
                <w:lang w:val="en-US"/>
              </w:rPr>
              <w:t>各</w:t>
            </w:r>
            <w:r>
              <w:rPr>
                <w:rFonts w:hint="eastAsia" w:ascii="方正仿宋_GBK" w:eastAsia="方正仿宋_GBK"/>
                <w:color w:val="000000"/>
                <w:sz w:val="24"/>
                <w:szCs w:val="24"/>
                <w:lang w:val="en-US"/>
              </w:rPr>
              <w:t>街镇，</w:t>
            </w:r>
            <w:r>
              <w:rPr>
                <w:rFonts w:hint="eastAsia" w:ascii="方正仿宋_GBK" w:eastAsia="方正仿宋_GBK"/>
                <w:color w:val="000000"/>
                <w:sz w:val="24"/>
                <w:szCs w:val="24"/>
              </w:rPr>
              <w:t>区</w:t>
            </w:r>
            <w:r>
              <w:rPr>
                <w:rFonts w:ascii="方正仿宋_GBK" w:eastAsia="方正仿宋_GBK"/>
                <w:color w:val="000000"/>
                <w:sz w:val="24"/>
                <w:szCs w:val="24"/>
              </w:rPr>
              <w:t>消防救援</w:t>
            </w:r>
            <w:r>
              <w:rPr>
                <w:rFonts w:hint="eastAsia" w:ascii="方正仿宋_GBK" w:eastAsia="方正仿宋_GBK"/>
                <w:color w:val="000000"/>
                <w:sz w:val="24"/>
                <w:szCs w:val="24"/>
              </w:rPr>
              <w:t>支</w:t>
            </w:r>
            <w:r>
              <w:rPr>
                <w:rFonts w:ascii="方正仿宋_GBK" w:eastAsia="方正仿宋_GBK"/>
                <w:color w:val="000000"/>
                <w:sz w:val="24"/>
                <w:szCs w:val="24"/>
              </w:rPr>
              <w:t>队</w:t>
            </w:r>
            <w:r>
              <w:rPr>
                <w:rFonts w:hint="eastAsia" w:ascii="方正仿宋_GBK" w:eastAsia="方正仿宋_GBK"/>
                <w:color w:val="000000"/>
                <w:sz w:val="24"/>
                <w:szCs w:val="24"/>
              </w:rPr>
              <w:t>、区</w:t>
            </w:r>
            <w:r>
              <w:rPr>
                <w:rFonts w:ascii="方正仿宋_GBK" w:eastAsia="方正仿宋_GBK"/>
                <w:color w:val="000000"/>
                <w:sz w:val="24"/>
                <w:szCs w:val="24"/>
              </w:rPr>
              <w:t>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4" w:hRule="atLeast"/>
          <w:jc w:val="center"/>
        </w:trPr>
        <w:tc>
          <w:tcPr>
            <w:tcW w:w="1368"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1176" w:type="dxa"/>
            <w:vMerge w:val="continue"/>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ascii="方正仿宋_GBK" w:eastAsia="方正仿宋_GBK"/>
                <w:color w:val="000000"/>
                <w:sz w:val="24"/>
                <w:szCs w:val="24"/>
              </w:rPr>
            </w:pPr>
          </w:p>
        </w:tc>
        <w:tc>
          <w:tcPr>
            <w:tcW w:w="4829"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lang w:eastAsia="zh-CN"/>
              </w:rPr>
            </w:pPr>
            <w:r>
              <w:rPr>
                <w:rFonts w:hint="eastAsia" w:ascii="方正仿宋_GBK" w:eastAsia="方正仿宋_GBK"/>
                <w:color w:val="000000"/>
                <w:sz w:val="24"/>
                <w:szCs w:val="24"/>
                <w:lang w:eastAsia="zh-CN"/>
              </w:rPr>
              <w:t>38.</w:t>
            </w:r>
            <w:r>
              <w:rPr>
                <w:rFonts w:hint="eastAsia" w:ascii="方正仿宋_GBK" w:eastAsia="方正仿宋_GBK"/>
                <w:color w:val="000000"/>
                <w:sz w:val="24"/>
                <w:szCs w:val="24"/>
                <w:lang w:val="en-US" w:eastAsia="zh-CN"/>
              </w:rPr>
              <w:t>运用高层建筑消防安全自查指南和日常检查指引，落实物业服务企业等管理单位主体责任。</w:t>
            </w:r>
          </w:p>
        </w:tc>
        <w:tc>
          <w:tcPr>
            <w:tcW w:w="2102" w:type="dxa"/>
            <w:shd w:val="clear" w:color="auto" w:fill="FFFFFF"/>
            <w:noWrap w:val="0"/>
            <w:vAlign w:val="center"/>
          </w:tcPr>
          <w:p>
            <w:pPr>
              <w:pStyle w:val="15"/>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方正仿宋_GBK" w:eastAsia="方正仿宋_GBK"/>
                <w:color w:val="000000"/>
                <w:sz w:val="24"/>
                <w:szCs w:val="24"/>
              </w:rPr>
            </w:pPr>
            <w:r>
              <w:rPr>
                <w:rFonts w:ascii="方正仿宋_GBK" w:eastAsia="方正仿宋_GBK"/>
                <w:color w:val="000000"/>
                <w:sz w:val="24"/>
                <w:szCs w:val="24"/>
                <w:lang w:val="en-US"/>
              </w:rPr>
              <w:t>各</w:t>
            </w:r>
            <w:r>
              <w:rPr>
                <w:rFonts w:hint="eastAsia" w:ascii="方正仿宋_GBK" w:eastAsia="方正仿宋_GBK"/>
                <w:color w:val="000000"/>
                <w:sz w:val="24"/>
                <w:szCs w:val="24"/>
                <w:lang w:val="en-US"/>
              </w:rPr>
              <w:t>街镇，区</w:t>
            </w:r>
            <w:r>
              <w:rPr>
                <w:rFonts w:ascii="方正仿宋_GBK" w:eastAsia="方正仿宋_GBK"/>
                <w:color w:val="000000"/>
                <w:sz w:val="24"/>
                <w:szCs w:val="24"/>
                <w:lang w:val="en-US"/>
              </w:rPr>
              <w:t>消防救援</w:t>
            </w:r>
            <w:r>
              <w:rPr>
                <w:rFonts w:hint="eastAsia" w:ascii="方正仿宋_GBK" w:eastAsia="方正仿宋_GBK"/>
                <w:color w:val="000000"/>
                <w:sz w:val="24"/>
                <w:szCs w:val="24"/>
                <w:lang w:val="en-US"/>
              </w:rPr>
              <w:t>支</w:t>
            </w:r>
            <w:r>
              <w:rPr>
                <w:rFonts w:ascii="方正仿宋_GBK" w:eastAsia="方正仿宋_GBK"/>
                <w:color w:val="000000"/>
                <w:sz w:val="24"/>
                <w:szCs w:val="24"/>
                <w:lang w:val="en-US"/>
              </w:rPr>
              <w:t>队</w:t>
            </w:r>
            <w:r>
              <w:rPr>
                <w:rFonts w:hint="eastAsia" w:ascii="方正仿宋_GBK" w:eastAsia="方正仿宋_GBK"/>
                <w:color w:val="000000"/>
                <w:sz w:val="24"/>
                <w:szCs w:val="24"/>
                <w:lang w:val="en-US"/>
              </w:rPr>
              <w:t>、区</w:t>
            </w:r>
            <w:r>
              <w:rPr>
                <w:rFonts w:ascii="方正仿宋_GBK" w:eastAsia="方正仿宋_GBK"/>
                <w:color w:val="000000"/>
                <w:sz w:val="24"/>
                <w:szCs w:val="24"/>
                <w:lang w:val="en-US"/>
              </w:rPr>
              <w:t>住房城乡建委</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0F96244B"/>
    <w:rsid w:val="14F551A6"/>
    <w:rsid w:val="152D2DCA"/>
    <w:rsid w:val="16350379"/>
    <w:rsid w:val="187168EA"/>
    <w:rsid w:val="196673CA"/>
    <w:rsid w:val="1A6D1382"/>
    <w:rsid w:val="1B2F4AEE"/>
    <w:rsid w:val="1CF734C9"/>
    <w:rsid w:val="1DEC284C"/>
    <w:rsid w:val="1E6523AC"/>
    <w:rsid w:val="22440422"/>
    <w:rsid w:val="22BB4BBB"/>
    <w:rsid w:val="28CF5BB3"/>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8E1F26"/>
    <w:rsid w:val="769F2DE8"/>
    <w:rsid w:val="76FDEB7C"/>
    <w:rsid w:val="79C65162"/>
    <w:rsid w:val="7B694BE7"/>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 w:type="paragraph" w:customStyle="1" w:styleId="15">
    <w:name w:val="Other|1"/>
    <w:basedOn w:val="1"/>
    <w:qFormat/>
    <w:uiPriority w:val="0"/>
    <w:pPr>
      <w:spacing w:line="389" w:lineRule="auto"/>
      <w:ind w:firstLine="400"/>
      <w:jc w:val="left"/>
    </w:pPr>
    <w:rPr>
      <w:rFonts w:ascii="宋体" w:hAnsi="宋体" w:eastAsia="宋体" w:cs="宋体"/>
      <w:kern w:val="0"/>
      <w:sz w:val="30"/>
      <w:szCs w:val="30"/>
      <w:lang w:val="zh-TW" w:eastAsia="zh-TW" w:bidi="zh-TW"/>
    </w:rPr>
  </w:style>
  <w:style w:type="paragraph" w:customStyle="1" w:styleId="16">
    <w:name w:val="Body text|3"/>
    <w:basedOn w:val="1"/>
    <w:qFormat/>
    <w:uiPriority w:val="0"/>
    <w:pPr>
      <w:spacing w:after="660" w:line="552" w:lineRule="exact"/>
      <w:jc w:val="center"/>
    </w:pPr>
    <w:rPr>
      <w:rFonts w:ascii="宋体" w:hAnsi="宋体" w:eastAsia="宋体" w:cs="宋体"/>
      <w:kern w:val="0"/>
      <w:sz w:val="34"/>
      <w:szCs w:val="3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2023-11-03T06:39:54Z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