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pPr>
    </w:p>
    <w:p>
      <w:pPr>
        <w:pStyle w:val="2"/>
        <w:keepNext w:val="0"/>
        <w:keepLines w:val="0"/>
        <w:pageBreakBefore w:val="0"/>
        <w:widowControl w:val="0"/>
        <w:kinsoku/>
        <w:wordWrap/>
        <w:overflowPunct/>
        <w:topLinePunct w:val="0"/>
        <w:bidi w:val="0"/>
        <w:spacing w:line="540" w:lineRule="exact"/>
        <w:textAlignment w:val="auto"/>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eastAsia="方正小标宋_GBK"/>
          <w:sz w:val="44"/>
          <w:szCs w:val="44"/>
        </w:rPr>
      </w:pPr>
      <w:r>
        <w:rPr>
          <w:rFonts w:hint="eastAsia" w:eastAsia="方正小标宋_GBK"/>
          <w:sz w:val="44"/>
          <w:szCs w:val="44"/>
        </w:rPr>
        <w:t>重庆市长寿区凤城街道办事处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eastAsia" w:eastAsia="方正小标宋_GBK"/>
          <w:sz w:val="44"/>
          <w:szCs w:val="44"/>
        </w:rPr>
        <w:t>关于</w:t>
      </w:r>
      <w:r>
        <w:rPr>
          <w:rFonts w:hint="eastAsia" w:ascii="Times New Roman" w:hAnsi="Times New Roman" w:eastAsia="方正小标宋_GBK" w:cs="Times New Roman"/>
          <w:sz w:val="44"/>
          <w:szCs w:val="44"/>
          <w:lang w:eastAsia="zh-CN"/>
        </w:rPr>
        <w:t>废止部分</w:t>
      </w:r>
      <w:r>
        <w:rPr>
          <w:rFonts w:hint="eastAsia" w:ascii="Times New Roman" w:hAnsi="Times New Roman" w:eastAsia="方正小标宋_GBK" w:cs="Times New Roman"/>
          <w:sz w:val="44"/>
          <w:szCs w:val="44"/>
          <w:lang w:val="en-US" w:eastAsia="zh-CN"/>
        </w:rPr>
        <w:t>行政</w:t>
      </w:r>
      <w:r>
        <w:rPr>
          <w:rFonts w:hint="eastAsia" w:ascii="Times New Roman" w:hAnsi="Times New Roman" w:eastAsia="方正小标宋_GBK" w:cs="Times New Roman"/>
          <w:sz w:val="44"/>
          <w:szCs w:val="44"/>
          <w:lang w:eastAsia="zh-CN"/>
        </w:rPr>
        <w:t>规范性文件的决定</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凤城办发〔2023〕</w:t>
      </w:r>
      <w:r>
        <w:rPr>
          <w:rFonts w:hint="eastAsia"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各办（站、所、中心、大队）</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7月10日，经街道党政办公会研究审定，对《重庆市长寿区凤城街道办事处关于持续深化危险化学品烟花爆竹打非治违专项整治行动工作方案的通知》（凤城办发〔2016〕75号）等共15个行政规范性文件予以废止，本决定自公布之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附件：废止的行政规范性文件目录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bidi w:val="0"/>
        <w:spacing w:line="600" w:lineRule="exact"/>
        <w:ind w:firstLine="4160" w:firstLineChars="1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重庆市长寿区凤城街道办事处</w:t>
      </w:r>
    </w:p>
    <w:p>
      <w:pPr>
        <w:pStyle w:val="2"/>
        <w:keepNext w:val="0"/>
        <w:keepLines w:val="0"/>
        <w:pageBreakBefore w:val="0"/>
        <w:kinsoku/>
        <w:wordWrap/>
        <w:overflowPunct/>
        <w:topLinePunct w:val="0"/>
        <w:bidi w:val="0"/>
        <w:spacing w:line="60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2023年7月10日</w:t>
      </w:r>
    </w:p>
    <w:p>
      <w:pPr>
        <w:pStyle w:val="2"/>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r>
        <w:rPr>
          <w:rFonts w:hint="eastAsia" w:ascii="Times New Roman" w:eastAsia="方正仿宋_GBK" w:cs="Times New Roman"/>
          <w:sz w:val="32"/>
          <w:szCs w:val="32"/>
          <w:lang w:val="en-US" w:eastAsia="zh-CN"/>
        </w:rPr>
        <w:t>（此件公开发布）</w:t>
      </w:r>
    </w:p>
    <w:p>
      <w:pPr>
        <w:pStyle w:val="2"/>
        <w:keepNext w:val="0"/>
        <w:keepLines w:val="0"/>
        <w:pageBreakBefore w:val="0"/>
        <w:kinsoku/>
        <w:wordWrap/>
        <w:overflowPunct/>
        <w:topLinePunct w:val="0"/>
        <w:bidi w:val="0"/>
        <w:spacing w:line="600" w:lineRule="exact"/>
        <w:ind w:firstLine="5120" w:firstLineChars="16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bidi w:val="0"/>
        <w:spacing w:line="600" w:lineRule="exact"/>
        <w:ind w:firstLine="5120" w:firstLineChars="16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bidi w:val="0"/>
        <w:spacing w:line="60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94" w:lineRule="exact"/>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2"/>
        <w:rPr>
          <w:rFonts w:hint="eastAsia"/>
        </w:rPr>
      </w:pPr>
    </w:p>
    <w:p>
      <w:pPr>
        <w:pStyle w:val="2"/>
        <w:keepNext w:val="0"/>
        <w:keepLines w:val="0"/>
        <w:pageBreakBefore w:val="0"/>
        <w:numPr>
          <w:ilvl w:val="0"/>
          <w:numId w:val="0"/>
        </w:numPr>
        <w:kinsoku/>
        <w:wordWrap/>
        <w:overflowPunct/>
        <w:topLinePunct w:val="0"/>
        <w:bidi w:val="0"/>
        <w:snapToGrid/>
        <w:spacing w:line="596" w:lineRule="exact"/>
        <w:jc w:val="center"/>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废止的行政规范性文件目录</w:t>
      </w:r>
    </w:p>
    <w:tbl>
      <w:tblPr>
        <w:tblStyle w:val="9"/>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355"/>
        <w:gridCol w:w="532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序号</w:t>
            </w:r>
          </w:p>
        </w:tc>
        <w:tc>
          <w:tcPr>
            <w:tcW w:w="2355"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文号</w:t>
            </w:r>
          </w:p>
        </w:tc>
        <w:tc>
          <w:tcPr>
            <w:tcW w:w="5325" w:type="dxa"/>
            <w:noWrap w:val="0"/>
            <w:vAlign w:val="center"/>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spacing w:val="-20"/>
                <w:sz w:val="28"/>
                <w:szCs w:val="28"/>
                <w:vertAlign w:val="baseline"/>
                <w:lang w:val="en-US" w:eastAsia="zh-CN"/>
              </w:rPr>
            </w:pPr>
            <w:r>
              <w:rPr>
                <w:rFonts w:hint="eastAsia" w:ascii="方正黑体_GBK" w:hAnsi="方正黑体_GBK" w:eastAsia="方正黑体_GBK" w:cs="方正黑体_GBK"/>
                <w:b w:val="0"/>
                <w:bCs w:val="0"/>
                <w:spacing w:val="-20"/>
                <w:sz w:val="28"/>
                <w:szCs w:val="28"/>
                <w:vertAlign w:val="baseline"/>
                <w:lang w:val="en-US" w:eastAsia="zh-CN"/>
              </w:rPr>
              <w:t>文件名</w:t>
            </w:r>
          </w:p>
        </w:tc>
        <w:tc>
          <w:tcPr>
            <w:tcW w:w="930" w:type="dxa"/>
            <w:noWrap w:val="0"/>
            <w:vAlign w:val="top"/>
          </w:tcPr>
          <w:p>
            <w:pPr>
              <w:pStyle w:val="2"/>
              <w:keepNext w:val="0"/>
              <w:keepLines w:val="0"/>
              <w:pageBreakBefore w:val="0"/>
              <w:numPr>
                <w:ilvl w:val="0"/>
                <w:numId w:val="0"/>
              </w:numPr>
              <w:kinsoku/>
              <w:wordWrap/>
              <w:overflowPunct/>
              <w:topLinePunct w:val="0"/>
              <w:bidi w:val="0"/>
              <w:snapToGrid/>
              <w:spacing w:line="440" w:lineRule="exact"/>
              <w:jc w:val="center"/>
              <w:rPr>
                <w:rFonts w:hint="eastAsia" w:ascii="方正黑体_GBK" w:hAnsi="方正黑体_GBK" w:eastAsia="方正黑体_GBK" w:cs="方正黑体_GBK"/>
                <w:b w:val="0"/>
                <w:bCs w:val="0"/>
                <w:color w:val="000000"/>
                <w:spacing w:val="-20"/>
                <w:sz w:val="28"/>
                <w:szCs w:val="28"/>
                <w:lang w:eastAsia="zh-CN"/>
              </w:rPr>
            </w:pPr>
            <w:r>
              <w:rPr>
                <w:rFonts w:hint="eastAsia" w:ascii="方正黑体_GBK" w:hAnsi="方正黑体_GBK" w:eastAsia="方正黑体_GBK" w:cs="方正黑体_GBK"/>
                <w:b w:val="0"/>
                <w:bCs w:val="0"/>
                <w:color w:val="000000"/>
                <w:spacing w:val="-2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83" w:type="dxa"/>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小标宋_GBK" w:hAnsi="方正小标宋_GBK" w:eastAsia="方正小标宋_GBK" w:cs="方正小标宋_GBK"/>
                <w:b w:val="0"/>
                <w:bCs w:val="0"/>
                <w:spacing w:val="-20"/>
                <w:sz w:val="32"/>
                <w:szCs w:val="32"/>
                <w:vertAlign w:val="baseline"/>
                <w:lang w:val="en-US" w:eastAsia="zh-CN"/>
              </w:rPr>
            </w:pPr>
            <w:r>
              <w:rPr>
                <w:rFonts w:hint="default" w:ascii="Times New Roman" w:hAnsi="Times New Roman" w:eastAsia="方正小标宋_GBK" w:cs="Times New Roman"/>
                <w:b w:val="0"/>
                <w:bCs w:val="0"/>
                <w:spacing w:val="-20"/>
                <w:sz w:val="32"/>
                <w:szCs w:val="32"/>
                <w:vertAlign w:val="baseline"/>
                <w:lang w:val="en-US" w:eastAsia="zh-CN"/>
              </w:rPr>
              <w:t>1</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b w:val="0"/>
                <w:bCs w:val="0"/>
                <w:color w:val="auto"/>
                <w:spacing w:val="-20"/>
                <w:sz w:val="24"/>
                <w:szCs w:val="24"/>
                <w:vertAlign w:val="baseline"/>
                <w:lang w:val="en-US" w:eastAsia="zh-CN"/>
              </w:rPr>
              <w:t>凤城办发〔2016〕75号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关于持续深化危险化学品烟花爆竹打非治违专项整治行动工作方案的通知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2</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kern w:val="0"/>
                <w:sz w:val="24"/>
              </w:rPr>
              <w:t>凤城办发〔2018〕23号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spacing w:val="-20"/>
                <w:kern w:val="0"/>
                <w:sz w:val="24"/>
              </w:rPr>
              <w:t>关于进一步加强畜禽养殖环境保护工作的通知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3</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kern w:val="0"/>
                <w:sz w:val="24"/>
              </w:rPr>
              <w:t>凤城办发〔2018〕36号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spacing w:val="-20"/>
                <w:kern w:val="0"/>
                <w:sz w:val="24"/>
              </w:rPr>
              <w:t>关于印发《重庆市长寿区凤城街道进一步深化农村承包经营权确权登记颁证操作方案》的通知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4</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kern w:val="0"/>
                <w:sz w:val="24"/>
              </w:rPr>
              <w:t>凤城办发〔2018〕49号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spacing w:val="-20"/>
                <w:kern w:val="0"/>
                <w:sz w:val="24"/>
              </w:rPr>
              <w:t>关于印发《农村集体资产量化确权改革实施方案》的通知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5</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b w:val="0"/>
                <w:bCs w:val="0"/>
                <w:color w:val="auto"/>
                <w:spacing w:val="-20"/>
                <w:sz w:val="24"/>
                <w:szCs w:val="24"/>
                <w:vertAlign w:val="baseline"/>
                <w:lang w:val="en-US" w:eastAsia="zh-CN"/>
              </w:rPr>
              <w:t>凤城办发〔2018〕84号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color w:val="auto"/>
                <w:spacing w:val="-20"/>
                <w:sz w:val="24"/>
                <w:szCs w:val="24"/>
                <w:vertAlign w:val="baseline"/>
                <w:lang w:val="en-US" w:eastAsia="zh-CN"/>
              </w:rPr>
              <w:t>关于印发《长寿区凤城街道农业生态环境保护实施方案》的通知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6</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kern w:val="0"/>
                <w:sz w:val="24"/>
              </w:rPr>
              <w:t>凤城办发〔2019〕4号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pacing w:val="-20"/>
                <w:kern w:val="2"/>
                <w:sz w:val="24"/>
                <w:szCs w:val="24"/>
                <w:u w:val="none"/>
                <w:lang w:val="en-US" w:eastAsia="zh-CN" w:bidi="ar-SA"/>
              </w:rPr>
            </w:pPr>
            <w:r>
              <w:rPr>
                <w:rFonts w:hint="eastAsia" w:ascii="方正仿宋_GBK" w:hAnsi="方正仿宋_GBK" w:eastAsia="方正仿宋_GBK" w:cs="方正仿宋_GBK"/>
                <w:spacing w:val="-20"/>
                <w:kern w:val="0"/>
                <w:sz w:val="24"/>
              </w:rPr>
              <w:t>关于印发《政府投资项目施工单位和中介机构信息库管理办法》的通知</w:t>
            </w:r>
          </w:p>
        </w:tc>
        <w:tc>
          <w:tcPr>
            <w:tcW w:w="930" w:type="dxa"/>
            <w:noWrap w:val="0"/>
            <w:vAlign w:val="top"/>
          </w:tcPr>
          <w:p>
            <w:pPr>
              <w:keepNext w:val="0"/>
              <w:keepLines w:val="0"/>
              <w:pageBreakBefore w:val="0"/>
              <w:widowControl/>
              <w:suppressLineNumbers w:val="0"/>
              <w:kinsoku/>
              <w:wordWrap/>
              <w:overflowPunct/>
              <w:topLinePunct w:val="0"/>
              <w:bidi w:val="0"/>
              <w:snapToGrid/>
              <w:spacing w:line="596" w:lineRule="exact"/>
              <w:jc w:val="both"/>
              <w:textAlignment w:val="center"/>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7</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kern w:val="0"/>
                <w:sz w:val="24"/>
              </w:rPr>
              <w:t>凤城办发〔2019〕6号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spacing w:val="-20"/>
                <w:kern w:val="0"/>
                <w:sz w:val="24"/>
              </w:rPr>
              <w:t>关于印发《凤城街道农村人居环境村庄清洁行动工作方案》的通知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8</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sz w:val="24"/>
              </w:rPr>
              <w:t>凤城办发〔2020〕54号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spacing w:val="-20"/>
                <w:kern w:val="0"/>
                <w:sz w:val="24"/>
              </w:rPr>
              <w:t>关于规范农村宅基地审批管理的通知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9</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kern w:val="0"/>
                <w:sz w:val="24"/>
              </w:rPr>
              <w:t>凤城办发〔2020〕56号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spacing w:val="-20"/>
                <w:kern w:val="0"/>
                <w:sz w:val="24"/>
              </w:rPr>
              <w:t>关于印发开展受限空间安全大排查大整治</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10</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kern w:val="0"/>
                <w:sz w:val="24"/>
              </w:rPr>
              <w:t>凤城办发〔2020〕75号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spacing w:val="-20"/>
                <w:kern w:val="0"/>
                <w:sz w:val="24"/>
              </w:rPr>
              <w:t>关于进一步加强露天焚烧污染管控的通知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11</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kern w:val="0"/>
                <w:sz w:val="24"/>
              </w:rPr>
              <w:t>凤城办发〔2021〕1号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spacing w:val="-20"/>
                <w:kern w:val="0"/>
                <w:sz w:val="24"/>
              </w:rPr>
              <w:t>关于印发《凤城街道开展“散乱污”企业专项清理整治行动实施方案》的通知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12</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kern w:val="0"/>
                <w:sz w:val="24"/>
              </w:rPr>
              <w:t>凤城办发〔2021〕15号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spacing w:val="-20"/>
                <w:kern w:val="0"/>
                <w:sz w:val="24"/>
              </w:rPr>
              <w:t>关于印发《凤城街道高层建筑消防安全综合治理醇基燃料专项整治工作方案》的通知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spacing w:val="-20"/>
                <w:sz w:val="24"/>
                <w:szCs w:val="24"/>
                <w:vertAlign w:val="baseline"/>
                <w:lang w:val="en-US" w:eastAsia="zh-CN"/>
              </w:rPr>
            </w:pPr>
            <w:r>
              <w:rPr>
                <w:rFonts w:hint="default" w:ascii="Times New Roman" w:hAnsi="Times New Roman" w:eastAsia="方正仿宋_GBK" w:cs="Times New Roman"/>
                <w:b w:val="0"/>
                <w:bCs w:val="0"/>
                <w:spacing w:val="-20"/>
                <w:sz w:val="24"/>
                <w:szCs w:val="24"/>
                <w:vertAlign w:val="baseline"/>
                <w:lang w:val="en-US" w:eastAsia="zh-CN"/>
              </w:rPr>
              <w:t>13</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color w:val="auto"/>
                <w:spacing w:val="-20"/>
                <w:sz w:val="24"/>
                <w:szCs w:val="24"/>
                <w:vertAlign w:val="baseline"/>
                <w:lang w:val="en-US" w:eastAsia="zh-CN"/>
              </w:rPr>
            </w:pPr>
            <w:r>
              <w:rPr>
                <w:rFonts w:hint="default" w:ascii="Times New Roman" w:hAnsi="Times New Roman" w:eastAsia="方正仿宋_GBK" w:cs="Times New Roman"/>
                <w:spacing w:val="-20"/>
                <w:kern w:val="0"/>
                <w:sz w:val="24"/>
              </w:rPr>
              <w:t>凤城办发〔2021〕33号</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spacing w:val="-20"/>
                <w:kern w:val="0"/>
                <w:sz w:val="24"/>
              </w:rPr>
              <w:t>关于印发《凤城街道竞争性涉农项目申报评审制度（试行）》等七项制度的通知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hAnsi="Times New Roman" w:eastAsia="方正仿宋_GBK" w:cs="Times New Roman"/>
                <w:b w:val="0"/>
                <w:bCs w:val="0"/>
                <w:spacing w:val="-20"/>
                <w:sz w:val="24"/>
                <w:szCs w:val="24"/>
                <w:vertAlign w:val="baseline"/>
                <w:lang w:val="en-US" w:eastAsia="zh-CN"/>
              </w:rPr>
            </w:pPr>
            <w:r>
              <w:rPr>
                <w:rFonts w:hint="eastAsia" w:ascii="Times New Roman" w:eastAsia="方正仿宋_GBK" w:cs="Times New Roman"/>
                <w:b w:val="0"/>
                <w:bCs w:val="0"/>
                <w:spacing w:val="-20"/>
                <w:sz w:val="24"/>
                <w:szCs w:val="24"/>
                <w:vertAlign w:val="baseline"/>
                <w:lang w:val="en-US" w:eastAsia="zh-CN"/>
              </w:rPr>
              <w:t>14</w:t>
            </w:r>
          </w:p>
        </w:tc>
        <w:tc>
          <w:tcPr>
            <w:tcW w:w="23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pacing w:val="-20"/>
                <w:kern w:val="0"/>
                <w:sz w:val="24"/>
              </w:rPr>
            </w:pPr>
            <w:r>
              <w:rPr>
                <w:rFonts w:hint="eastAsia" w:ascii="Times New Roman" w:hAnsi="Times New Roman" w:eastAsia="方正仿宋_GBK" w:cs="Times New Roman"/>
                <w:spacing w:val="-20"/>
                <w:kern w:val="0"/>
                <w:sz w:val="24"/>
              </w:rPr>
              <w:t>凤城办发〔</w:t>
            </w:r>
            <w:r>
              <w:rPr>
                <w:rFonts w:hint="default" w:ascii="Times New Roman" w:hAnsi="Times New Roman" w:eastAsia="方正仿宋_GBK" w:cs="Times New Roman"/>
                <w:spacing w:val="-20"/>
                <w:kern w:val="0"/>
                <w:sz w:val="24"/>
              </w:rPr>
              <w:t>2021</w:t>
            </w:r>
            <w:r>
              <w:rPr>
                <w:rFonts w:hint="eastAsia" w:ascii="Times New Roman" w:hAnsi="Times New Roman" w:eastAsia="方正仿宋_GBK" w:cs="Times New Roman"/>
                <w:spacing w:val="-20"/>
                <w:kern w:val="0"/>
                <w:sz w:val="24"/>
              </w:rPr>
              <w:t>〕</w:t>
            </w:r>
            <w:r>
              <w:rPr>
                <w:rFonts w:hint="default" w:ascii="Times New Roman" w:hAnsi="Times New Roman" w:eastAsia="方正仿宋_GBK" w:cs="Times New Roman"/>
                <w:spacing w:val="-20"/>
                <w:kern w:val="0"/>
                <w:sz w:val="24"/>
              </w:rPr>
              <w:t>59</w:t>
            </w:r>
            <w:r>
              <w:rPr>
                <w:rFonts w:hint="eastAsia" w:ascii="Times New Roman" w:hAnsi="Times New Roman" w:eastAsia="方正仿宋_GBK" w:cs="Times New Roman"/>
                <w:spacing w:val="-20"/>
                <w:kern w:val="0"/>
                <w:sz w:val="24"/>
              </w:rPr>
              <w:t>号</w:t>
            </w:r>
          </w:p>
        </w:tc>
        <w:tc>
          <w:tcPr>
            <w:tcW w:w="53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spacing w:val="-20"/>
                <w:kern w:val="0"/>
                <w:sz w:val="24"/>
              </w:rPr>
            </w:pPr>
            <w:r>
              <w:rPr>
                <w:rFonts w:hint="eastAsia" w:ascii="Times New Roman" w:hAnsi="Times New Roman" w:eastAsia="方正仿宋_GBK" w:cs="Times New Roman"/>
                <w:spacing w:val="-20"/>
                <w:kern w:val="0"/>
                <w:sz w:val="24"/>
              </w:rPr>
              <w:t>关于印发《凤城街道高层建筑可燃雨棚、外墙防护网业主自拆方案》的通知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3"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Times New Roman" w:eastAsia="方正仿宋_GBK" w:cs="Times New Roman"/>
                <w:b w:val="0"/>
                <w:bCs w:val="0"/>
                <w:spacing w:val="-20"/>
                <w:sz w:val="24"/>
                <w:szCs w:val="24"/>
                <w:vertAlign w:val="baseline"/>
                <w:lang w:val="en-US" w:eastAsia="zh-CN"/>
              </w:rPr>
            </w:pPr>
            <w:r>
              <w:rPr>
                <w:rFonts w:hint="eastAsia" w:ascii="Times New Roman" w:eastAsia="方正仿宋_GBK" w:cs="Times New Roman"/>
                <w:b w:val="0"/>
                <w:bCs w:val="0"/>
                <w:spacing w:val="-20"/>
                <w:sz w:val="24"/>
                <w:szCs w:val="24"/>
                <w:vertAlign w:val="baseline"/>
                <w:lang w:val="en-US" w:eastAsia="zh-CN"/>
              </w:rPr>
              <w:t>15</w:t>
            </w:r>
          </w:p>
        </w:tc>
        <w:tc>
          <w:tcPr>
            <w:tcW w:w="23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pacing w:val="-20"/>
                <w:kern w:val="0"/>
                <w:sz w:val="24"/>
              </w:rPr>
            </w:pPr>
            <w:r>
              <w:rPr>
                <w:rFonts w:hint="default" w:ascii="Times New Roman" w:hAnsi="Times New Roman" w:eastAsia="方正仿宋_GBK" w:cs="Times New Roman"/>
                <w:spacing w:val="-20"/>
                <w:kern w:val="0"/>
                <w:sz w:val="24"/>
              </w:rPr>
              <w:t xml:space="preserve">凤城办发〔2022〕41号  </w:t>
            </w:r>
          </w:p>
        </w:tc>
        <w:tc>
          <w:tcPr>
            <w:tcW w:w="5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spacing w:val="-20"/>
                <w:kern w:val="0"/>
                <w:sz w:val="24"/>
              </w:rPr>
            </w:pPr>
            <w:r>
              <w:rPr>
                <w:rFonts w:hint="eastAsia" w:ascii="方正仿宋_GBK" w:hAnsi="方正仿宋_GBK" w:eastAsia="方正仿宋_GBK" w:cs="方正仿宋_GBK"/>
                <w:spacing w:val="-20"/>
                <w:kern w:val="0"/>
                <w:sz w:val="24"/>
              </w:rPr>
              <w:t>关于印发《凤城街道畜禽养殖环境保护工作实施方案》的通知</w:t>
            </w:r>
          </w:p>
        </w:tc>
        <w:tc>
          <w:tcPr>
            <w:tcW w:w="930" w:type="dxa"/>
            <w:noWrap w:val="0"/>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黑体_GBK" w:hAnsi="方正黑体_GBK" w:eastAsia="方正黑体_GBK" w:cs="方正黑体_GBK"/>
                <w:b w:val="0"/>
                <w:bCs w:val="0"/>
                <w:color w:val="000000"/>
                <w:spacing w:val="-20"/>
                <w:sz w:val="28"/>
                <w:szCs w:val="28"/>
              </w:rPr>
            </w:pPr>
          </w:p>
        </w:tc>
      </w:tr>
    </w:tbl>
    <w:p>
      <w:pPr>
        <w:pStyle w:val="2"/>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tabs>
          <w:tab w:val="left" w:pos="2272"/>
        </w:tabs>
        <w:bidi w:val="0"/>
        <w:jc w:val="left"/>
        <w:rPr>
          <w:rFonts w:hint="eastAsia"/>
          <w:lang w:val="en-US" w:eastAsia="zh-CN"/>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57150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4.5pt;height:0.15pt;width:442.25pt;z-index:251660288;mso-width-relative:page;mso-height-relative:page;" filled="f" stroked="t" coordsize="21600,21600" o:gfxdata="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T4pwNMAAAAF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6"/>
      <w:keepNext w:val="0"/>
      <w:keepLines w:val="0"/>
      <w:pageBreakBefore w:val="0"/>
      <w:widowControl w:val="0"/>
      <w:kinsoku/>
      <w:wordWrap w:val="0"/>
      <w:overflowPunct/>
      <w:topLinePunct w:val="0"/>
      <w:autoSpaceDE/>
      <w:autoSpaceDN/>
      <w:bidi w:val="0"/>
      <w:adjustRightInd/>
      <w:snapToGrid w:val="0"/>
      <w:jc w:val="righ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重庆市长寿区凤城街道办事处发布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jc w:val="both"/>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重庆市长寿区凤城街道办事处行政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0AD31FC"/>
    <w:rsid w:val="11DB7C71"/>
    <w:rsid w:val="123817AC"/>
    <w:rsid w:val="152D2DCA"/>
    <w:rsid w:val="187168EA"/>
    <w:rsid w:val="196673CA"/>
    <w:rsid w:val="1CF734C9"/>
    <w:rsid w:val="1DEC284C"/>
    <w:rsid w:val="1E6523AC"/>
    <w:rsid w:val="22440422"/>
    <w:rsid w:val="22BB4BBB"/>
    <w:rsid w:val="23D0592D"/>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8661608"/>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798</Words>
  <Characters>878</Characters>
  <Lines>1</Lines>
  <Paragraphs>1</Paragraphs>
  <TotalTime>3</TotalTime>
  <ScaleCrop>false</ScaleCrop>
  <LinksUpToDate>false</LinksUpToDate>
  <CharactersWithSpaces>880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刘先生</cp:lastModifiedBy>
  <cp:lastPrinted>2022-06-06T16:09:00Z</cp:lastPrinted>
  <dcterms:modified xsi:type="dcterms:W3CDTF">2023-12-21T08:42:54Z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