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Times New Roman" w:hAnsi="Times New Roman" w:eastAsia="华文中宋"/>
          <w:sz w:val="44"/>
          <w:szCs w:val="44"/>
        </w:rPr>
      </w:pPr>
      <w:r>
        <w:rPr>
          <w:rFonts w:hint="eastAsia" w:ascii="Times New Roman" w:hAnsi="Times New Roman" w:eastAsia="华文中宋"/>
          <w:sz w:val="44"/>
          <w:szCs w:val="44"/>
          <w:lang w:eastAsia="zh-CN"/>
        </w:rPr>
        <w:t>重庆市长寿区基层医疗机构财务核算中心</w:t>
      </w:r>
      <w:r>
        <w:rPr>
          <w:rFonts w:ascii="Times New Roman" w:hAnsi="Times New Roman" w:eastAsia="华文中宋"/>
          <w:sz w:val="44"/>
          <w:szCs w:val="44"/>
        </w:rPr>
        <w:t>202</w:t>
      </w:r>
      <w:r>
        <w:rPr>
          <w:rFonts w:hint="eastAsia" w:ascii="Times New Roman" w:hAnsi="Times New Roman" w:eastAsia="华文中宋"/>
          <w:sz w:val="44"/>
          <w:szCs w:val="44"/>
          <w:lang w:val="en-US" w:eastAsia="zh-CN"/>
        </w:rPr>
        <w:t>4</w:t>
      </w:r>
      <w:r>
        <w:rPr>
          <w:rFonts w:ascii="Times New Roman" w:hAnsi="Times New Roman" w:eastAsia="华文中宋"/>
          <w:sz w:val="44"/>
          <w:szCs w:val="44"/>
        </w:rPr>
        <w:t>年预算情况说明</w:t>
      </w:r>
    </w:p>
    <w:p>
      <w:pPr>
        <w:spacing w:line="600" w:lineRule="exact"/>
        <w:ind w:firstLine="880" w:firstLineChars="200"/>
        <w:jc w:val="center"/>
        <w:rPr>
          <w:rFonts w:ascii="Times New Roman" w:hAnsi="Times New Roman" w:eastAsia="华文中宋"/>
          <w:sz w:val="44"/>
          <w:szCs w:val="44"/>
        </w:rPr>
      </w:pPr>
    </w:p>
    <w:p>
      <w:pPr>
        <w:numPr>
          <w:ilvl w:val="0"/>
          <w:numId w:val="1"/>
        </w:numPr>
        <w:spacing w:line="600" w:lineRule="exact"/>
        <w:ind w:firstLine="640" w:firstLineChars="200"/>
        <w:rPr>
          <w:rFonts w:ascii="Times New Roman" w:hAnsi="Times New Roman" w:eastAsia="黑体"/>
          <w:sz w:val="32"/>
        </w:rPr>
      </w:pPr>
      <w:r>
        <w:rPr>
          <w:rFonts w:ascii="Times New Roman" w:hAnsi="Times New Roman" w:eastAsia="黑体"/>
          <w:sz w:val="32"/>
        </w:rPr>
        <w:t>单位基本情况</w:t>
      </w:r>
    </w:p>
    <w:p>
      <w:pPr>
        <w:pStyle w:val="8"/>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（一）职能职责</w:t>
      </w:r>
    </w:p>
    <w:p>
      <w:pPr>
        <w:pStyle w:val="8"/>
        <w:tabs>
          <w:tab w:val="center" w:pos="4153"/>
          <w:tab w:val="left" w:pos="7275"/>
        </w:tabs>
        <w:spacing w:line="600" w:lineRule="exact"/>
        <w:ind w:firstLine="640"/>
        <w:jc w:val="left"/>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1、代理基层医疗机构资金结算、会计核算工作。</w:t>
      </w:r>
    </w:p>
    <w:p>
      <w:pPr>
        <w:pStyle w:val="8"/>
        <w:tabs>
          <w:tab w:val="center" w:pos="4153"/>
          <w:tab w:val="left" w:pos="7275"/>
        </w:tabs>
        <w:spacing w:line="600" w:lineRule="exact"/>
        <w:ind w:firstLine="640"/>
        <w:jc w:val="left"/>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2、负责审核和监督财务票据的合法性及会计业务档案收集整理。</w:t>
      </w:r>
    </w:p>
    <w:p>
      <w:pPr>
        <w:pStyle w:val="8"/>
        <w:tabs>
          <w:tab w:val="center" w:pos="4153"/>
          <w:tab w:val="left" w:pos="7275"/>
        </w:tabs>
        <w:spacing w:line="600" w:lineRule="exact"/>
        <w:ind w:firstLine="640"/>
        <w:jc w:val="left"/>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3、承担会计业务指导和相关培训工作。</w:t>
      </w:r>
    </w:p>
    <w:p>
      <w:pPr>
        <w:pStyle w:val="8"/>
        <w:tabs>
          <w:tab w:val="center" w:pos="4153"/>
          <w:tab w:val="left" w:pos="7275"/>
        </w:tabs>
        <w:spacing w:line="600" w:lineRule="exact"/>
        <w:ind w:firstLine="640"/>
        <w:jc w:val="left"/>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4、加强核算单位价格政策的执行监管工作，监督核算单位及时足额上缴国家规定的税费和基金。</w:t>
      </w:r>
    </w:p>
    <w:p>
      <w:pPr>
        <w:pStyle w:val="8"/>
        <w:tabs>
          <w:tab w:val="center" w:pos="4153"/>
          <w:tab w:val="left" w:pos="7275"/>
        </w:tabs>
        <w:spacing w:line="600" w:lineRule="exact"/>
        <w:ind w:firstLine="640"/>
        <w:jc w:val="left"/>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5、完成上级交办的其他工作。</w:t>
      </w:r>
    </w:p>
    <w:p>
      <w:pPr>
        <w:pStyle w:val="8"/>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（二）单位构成</w:t>
      </w:r>
      <w:bookmarkStart w:id="0" w:name="_GoBack"/>
      <w:bookmarkEnd w:id="0"/>
    </w:p>
    <w:p>
      <w:pPr>
        <w:pStyle w:val="8"/>
        <w:tabs>
          <w:tab w:val="center" w:pos="4153"/>
          <w:tab w:val="left" w:pos="7275"/>
        </w:tabs>
        <w:spacing w:line="600" w:lineRule="exact"/>
        <w:ind w:firstLine="640"/>
        <w:jc w:val="left"/>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1、机构设置。重庆市长寿区基层医疗机构财务核算中心为区卫生健康委所属的正科级全额拨款事业单位，单位无内设科室。2024年编制人数12人，实有在职人数11人。</w:t>
      </w:r>
    </w:p>
    <w:p>
      <w:pPr>
        <w:pStyle w:val="8"/>
        <w:tabs>
          <w:tab w:val="center" w:pos="4153"/>
          <w:tab w:val="left" w:pos="7275"/>
        </w:tabs>
        <w:spacing w:line="600" w:lineRule="exact"/>
        <w:ind w:firstLine="640"/>
        <w:jc w:val="left"/>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2、单位构成。本单位无下级预算单位。</w:t>
      </w:r>
    </w:p>
    <w:p>
      <w:pPr>
        <w:numPr>
          <w:ilvl w:val="0"/>
          <w:numId w:val="1"/>
        </w:numPr>
        <w:spacing w:line="600" w:lineRule="exact"/>
        <w:ind w:firstLine="640" w:firstLineChars="200"/>
        <w:rPr>
          <w:rFonts w:ascii="Times New Roman" w:hAnsi="Times New Roman" w:eastAsia="黑体"/>
          <w:sz w:val="32"/>
        </w:rPr>
      </w:pPr>
      <w:r>
        <w:rPr>
          <w:rFonts w:ascii="Times New Roman" w:hAnsi="Times New Roman" w:eastAsia="黑体"/>
          <w:sz w:val="32"/>
        </w:rPr>
        <w:t>部门收支总体情况</w:t>
      </w:r>
    </w:p>
    <w:p>
      <w:pPr>
        <w:pStyle w:val="8"/>
        <w:tabs>
          <w:tab w:val="center" w:pos="4153"/>
          <w:tab w:val="left" w:pos="7275"/>
        </w:tabs>
        <w:spacing w:line="600" w:lineRule="exact"/>
        <w:ind w:firstLine="640"/>
        <w:jc w:val="left"/>
        <w:rPr>
          <w:rFonts w:ascii="Times New Roman" w:hAnsi="Times New Roman" w:eastAsia="方正仿宋_GBK"/>
          <w:sz w:val="32"/>
          <w:szCs w:val="32"/>
        </w:rPr>
      </w:pPr>
      <w:r>
        <w:rPr>
          <w:rFonts w:hint="eastAsia" w:ascii="Times New Roman" w:hAnsi="Times New Roman" w:eastAsia="方正仿宋_GBK"/>
          <w:sz w:val="32"/>
          <w:szCs w:val="32"/>
          <w:lang w:eastAsia="zh-CN"/>
        </w:rPr>
        <w:t>（一）</w:t>
      </w:r>
      <w:r>
        <w:rPr>
          <w:rFonts w:ascii="Times New Roman" w:hAnsi="Times New Roman" w:eastAsia="方正仿宋_GBK"/>
          <w:sz w:val="32"/>
          <w:szCs w:val="32"/>
        </w:rPr>
        <w:t>收入预算：202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年年初预算数</w:t>
      </w:r>
      <w:r>
        <w:rPr>
          <w:rFonts w:hint="eastAsia" w:ascii="Times New Roman" w:hAnsi="Times New Roman" w:eastAsia="方正仿宋_GBK"/>
          <w:sz w:val="32"/>
          <w:szCs w:val="32"/>
          <w:lang w:val="en-US" w:eastAsia="zh-CN"/>
        </w:rPr>
        <w:t>256.44</w:t>
      </w:r>
      <w:r>
        <w:rPr>
          <w:rFonts w:ascii="Times New Roman" w:hAnsi="Times New Roman" w:eastAsia="方正仿宋_GBK"/>
          <w:sz w:val="32"/>
          <w:szCs w:val="32"/>
        </w:rPr>
        <w:t>万元，其中：一般公共预算拨款</w:t>
      </w:r>
      <w:r>
        <w:rPr>
          <w:rFonts w:hint="eastAsia" w:ascii="Times New Roman" w:hAnsi="Times New Roman" w:eastAsia="方正仿宋_GBK"/>
          <w:sz w:val="32"/>
          <w:szCs w:val="32"/>
          <w:lang w:val="en-US" w:eastAsia="zh-CN"/>
        </w:rPr>
        <w:t>246.44</w:t>
      </w:r>
      <w:r>
        <w:rPr>
          <w:rFonts w:ascii="Times New Roman" w:hAnsi="Times New Roman" w:eastAsia="方正仿宋_GBK"/>
          <w:sz w:val="32"/>
          <w:szCs w:val="32"/>
        </w:rPr>
        <w:t>万元，政府性基金预算拨款</w:t>
      </w:r>
      <w:r>
        <w:rPr>
          <w:rFonts w:hint="eastAsia" w:ascii="Times New Roman" w:hAnsi="Times New Roman" w:eastAsia="方正仿宋_GBK"/>
          <w:sz w:val="32"/>
          <w:szCs w:val="32"/>
          <w:lang w:val="en-US" w:eastAsia="zh-CN"/>
        </w:rPr>
        <w:t>10.00</w:t>
      </w:r>
      <w:r>
        <w:rPr>
          <w:rFonts w:ascii="Times New Roman" w:hAnsi="Times New Roman" w:eastAsia="方正仿宋_GBK"/>
          <w:sz w:val="32"/>
          <w:szCs w:val="32"/>
        </w:rPr>
        <w:t>万元，国有资本经营预算收入</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万元，事业收入</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万元，事业单位经营收入</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万元，其他收入</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p>
    <w:p>
      <w:pPr>
        <w:pStyle w:val="8"/>
        <w:tabs>
          <w:tab w:val="center" w:pos="4153"/>
          <w:tab w:val="left" w:pos="7275"/>
        </w:tabs>
        <w:spacing w:line="600" w:lineRule="exact"/>
        <w:ind w:firstLine="640"/>
        <w:jc w:val="left"/>
        <w:rPr>
          <w:rFonts w:ascii="Times New Roman" w:hAnsi="Times New Roman" w:eastAsia="方正仿宋_GBK"/>
          <w:sz w:val="32"/>
          <w:szCs w:val="32"/>
        </w:rPr>
      </w:pPr>
      <w:r>
        <w:rPr>
          <w:rFonts w:hint="eastAsia" w:ascii="Times New Roman" w:hAnsi="Times New Roman" w:eastAsia="方正仿宋_GBK"/>
          <w:sz w:val="32"/>
          <w:szCs w:val="32"/>
          <w:lang w:eastAsia="zh-CN"/>
        </w:rPr>
        <w:t>注：</w:t>
      </w:r>
      <w:r>
        <w:rPr>
          <w:rFonts w:hint="eastAsia" w:ascii="Times New Roman" w:hAnsi="Times New Roman" w:eastAsia="方正仿宋_GBK"/>
          <w:sz w:val="32"/>
          <w:szCs w:val="32"/>
          <w:lang w:val="en-US" w:eastAsia="zh-CN"/>
        </w:rPr>
        <w:t>2023年单位预算由区卫生健康委本级统一编制，2024年起独立编制预算，故无两年数据比较，下同。</w:t>
      </w:r>
    </w:p>
    <w:p>
      <w:pPr>
        <w:pStyle w:val="8"/>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（二）支出预算：202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年年初预算数</w:t>
      </w:r>
      <w:r>
        <w:rPr>
          <w:rFonts w:hint="eastAsia" w:ascii="Times New Roman" w:hAnsi="Times New Roman" w:eastAsia="方正仿宋_GBK"/>
          <w:sz w:val="32"/>
          <w:szCs w:val="32"/>
          <w:lang w:val="en-US" w:eastAsia="zh-CN"/>
        </w:rPr>
        <w:t>256.44</w:t>
      </w:r>
      <w:r>
        <w:rPr>
          <w:rFonts w:ascii="Times New Roman" w:hAnsi="Times New Roman" w:eastAsia="方正仿宋_GBK"/>
          <w:sz w:val="32"/>
          <w:szCs w:val="32"/>
        </w:rPr>
        <w:t>万元，其中：一般公共服务支出</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万元，教育支出</w:t>
      </w:r>
      <w:r>
        <w:rPr>
          <w:rFonts w:hint="eastAsia" w:ascii="Times New Roman" w:hAnsi="Times New Roman" w:eastAsia="方正仿宋_GBK"/>
          <w:sz w:val="32"/>
          <w:szCs w:val="32"/>
          <w:lang w:val="en-US" w:eastAsia="zh-CN"/>
        </w:rPr>
        <w:t>1.38</w:t>
      </w:r>
      <w:r>
        <w:rPr>
          <w:rFonts w:ascii="Times New Roman" w:hAnsi="Times New Roman" w:eastAsia="方正仿宋_GBK"/>
          <w:sz w:val="32"/>
          <w:szCs w:val="32"/>
        </w:rPr>
        <w:t>万元，社会保障和就业支出</w:t>
      </w:r>
      <w:r>
        <w:rPr>
          <w:rFonts w:hint="eastAsia" w:ascii="Times New Roman" w:hAnsi="Times New Roman" w:eastAsia="方正仿宋_GBK"/>
          <w:sz w:val="32"/>
          <w:szCs w:val="32"/>
          <w:lang w:val="en-US" w:eastAsia="zh-CN"/>
        </w:rPr>
        <w:t>22.09</w:t>
      </w:r>
      <w:r>
        <w:rPr>
          <w:rFonts w:ascii="Times New Roman" w:hAnsi="Times New Roman" w:eastAsia="方正仿宋_GBK"/>
          <w:sz w:val="32"/>
          <w:szCs w:val="32"/>
        </w:rPr>
        <w:t>万元，卫生健康支出</w:t>
      </w:r>
      <w:r>
        <w:rPr>
          <w:rFonts w:hint="eastAsia" w:ascii="Times New Roman" w:hAnsi="Times New Roman" w:eastAsia="方正仿宋_GBK"/>
          <w:sz w:val="32"/>
          <w:szCs w:val="32"/>
          <w:lang w:val="en-US" w:eastAsia="zh-CN"/>
        </w:rPr>
        <w:t>211.93</w:t>
      </w:r>
      <w:r>
        <w:rPr>
          <w:rFonts w:ascii="Times New Roman" w:hAnsi="Times New Roman" w:eastAsia="方正仿宋_GBK"/>
          <w:sz w:val="32"/>
          <w:szCs w:val="32"/>
        </w:rPr>
        <w:t>万元，</w:t>
      </w:r>
      <w:r>
        <w:rPr>
          <w:rFonts w:hint="eastAsia" w:ascii="Times New Roman" w:hAnsi="Times New Roman" w:eastAsia="方正仿宋_GBK"/>
          <w:sz w:val="32"/>
          <w:szCs w:val="32"/>
          <w:lang w:eastAsia="zh-CN"/>
        </w:rPr>
        <w:t>城乡社区支出</w:t>
      </w:r>
      <w:r>
        <w:rPr>
          <w:rFonts w:hint="eastAsia" w:ascii="Times New Roman" w:hAnsi="Times New Roman" w:eastAsia="方正仿宋_GBK"/>
          <w:sz w:val="32"/>
          <w:szCs w:val="32"/>
          <w:lang w:val="en-US" w:eastAsia="zh-CN"/>
        </w:rPr>
        <w:t>10.00万元，</w:t>
      </w:r>
      <w:r>
        <w:rPr>
          <w:rFonts w:ascii="Times New Roman" w:hAnsi="Times New Roman" w:eastAsia="方正仿宋_GBK"/>
          <w:sz w:val="32"/>
          <w:szCs w:val="32"/>
        </w:rPr>
        <w:t>住房保障支出</w:t>
      </w:r>
      <w:r>
        <w:rPr>
          <w:rFonts w:hint="eastAsia" w:ascii="Times New Roman" w:hAnsi="Times New Roman" w:eastAsia="方正仿宋_GBK"/>
          <w:sz w:val="32"/>
          <w:szCs w:val="32"/>
          <w:lang w:val="en-US" w:eastAsia="zh-CN"/>
        </w:rPr>
        <w:t>11.04</w:t>
      </w:r>
      <w:r>
        <w:rPr>
          <w:rFonts w:ascii="Times New Roman" w:hAnsi="Times New Roman" w:eastAsia="方正仿宋_GBK"/>
          <w:sz w:val="32"/>
          <w:szCs w:val="32"/>
        </w:rPr>
        <w:t>万元。</w:t>
      </w:r>
    </w:p>
    <w:p>
      <w:pPr>
        <w:numPr>
          <w:ilvl w:val="0"/>
          <w:numId w:val="1"/>
        </w:numPr>
        <w:spacing w:line="600" w:lineRule="exact"/>
        <w:ind w:firstLine="640" w:firstLineChars="200"/>
        <w:rPr>
          <w:rFonts w:ascii="Times New Roman" w:hAnsi="Times New Roman" w:eastAsia="黑体"/>
          <w:sz w:val="32"/>
        </w:rPr>
      </w:pPr>
      <w:r>
        <w:rPr>
          <w:rFonts w:ascii="Times New Roman" w:hAnsi="Times New Roman" w:eastAsia="黑体"/>
          <w:sz w:val="32"/>
        </w:rPr>
        <w:t>部门预算情况说明</w:t>
      </w:r>
    </w:p>
    <w:p>
      <w:pPr>
        <w:pStyle w:val="8"/>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年一般公共预算财政拨款收入</w:t>
      </w:r>
      <w:r>
        <w:rPr>
          <w:rFonts w:hint="eastAsia" w:ascii="Times New Roman" w:hAnsi="Times New Roman" w:eastAsia="方正仿宋_GBK"/>
          <w:sz w:val="32"/>
          <w:szCs w:val="32"/>
          <w:lang w:val="en-US" w:eastAsia="zh-CN"/>
        </w:rPr>
        <w:t>246.44</w:t>
      </w:r>
      <w:r>
        <w:rPr>
          <w:rFonts w:ascii="Times New Roman" w:hAnsi="Times New Roman" w:eastAsia="方正仿宋_GBK"/>
          <w:sz w:val="32"/>
          <w:szCs w:val="32"/>
        </w:rPr>
        <w:t>万元，一般公共预算财政拨款支出</w:t>
      </w:r>
      <w:r>
        <w:rPr>
          <w:rFonts w:hint="eastAsia" w:ascii="Times New Roman" w:hAnsi="Times New Roman" w:eastAsia="方正仿宋_GBK"/>
          <w:sz w:val="32"/>
          <w:szCs w:val="32"/>
          <w:lang w:val="en-US" w:eastAsia="zh-CN"/>
        </w:rPr>
        <w:t>246.44</w:t>
      </w:r>
      <w:r>
        <w:rPr>
          <w:rFonts w:ascii="Times New Roman" w:hAnsi="Times New Roman" w:eastAsia="方正仿宋_GBK"/>
          <w:sz w:val="32"/>
          <w:szCs w:val="32"/>
        </w:rPr>
        <w:t>元</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主要用于保障在职人员工资福利及社会保险缴费，</w:t>
      </w:r>
      <w:r>
        <w:rPr>
          <w:rFonts w:hint="eastAsia" w:ascii="Times New Roman" w:hAnsi="Times New Roman" w:eastAsia="方正仿宋_GBK"/>
          <w:sz w:val="32"/>
          <w:szCs w:val="32"/>
          <w:lang w:eastAsia="zh-CN"/>
        </w:rPr>
        <w:t>以及</w:t>
      </w:r>
      <w:r>
        <w:rPr>
          <w:rFonts w:ascii="Times New Roman" w:hAnsi="Times New Roman" w:eastAsia="方正仿宋_GBK"/>
          <w:sz w:val="32"/>
          <w:szCs w:val="32"/>
        </w:rPr>
        <w:t>保障部门正常运转的各项商品服务支出；项目支出</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p>
    <w:p>
      <w:pPr>
        <w:pStyle w:val="8"/>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年政府性基金预算收入</w:t>
      </w:r>
      <w:r>
        <w:rPr>
          <w:rFonts w:hint="eastAsia" w:ascii="Times New Roman" w:hAnsi="Times New Roman" w:eastAsia="方正仿宋_GBK"/>
          <w:sz w:val="32"/>
          <w:szCs w:val="32"/>
          <w:lang w:val="en-US" w:eastAsia="zh-CN"/>
        </w:rPr>
        <w:t>10.00</w:t>
      </w:r>
      <w:r>
        <w:rPr>
          <w:rFonts w:ascii="Times New Roman" w:hAnsi="Times New Roman" w:eastAsia="方正仿宋_GBK"/>
          <w:sz w:val="32"/>
          <w:szCs w:val="32"/>
        </w:rPr>
        <w:t>万元，政府性基金预算支出</w:t>
      </w:r>
      <w:r>
        <w:rPr>
          <w:rFonts w:hint="eastAsia" w:ascii="Times New Roman" w:hAnsi="Times New Roman" w:eastAsia="方正仿宋_GBK"/>
          <w:sz w:val="32"/>
          <w:szCs w:val="32"/>
          <w:lang w:val="en-US" w:eastAsia="zh-CN"/>
        </w:rPr>
        <w:t>10.00</w:t>
      </w:r>
      <w:r>
        <w:rPr>
          <w:rFonts w:ascii="Times New Roman" w:hAnsi="Times New Roman" w:eastAsia="方正仿宋_GBK"/>
          <w:sz w:val="32"/>
          <w:szCs w:val="32"/>
        </w:rPr>
        <w:t>万元，主要用于</w:t>
      </w:r>
      <w:r>
        <w:rPr>
          <w:rFonts w:hint="eastAsia" w:ascii="Times New Roman" w:hAnsi="Times New Roman" w:eastAsia="方正仿宋_GBK"/>
          <w:sz w:val="32"/>
          <w:szCs w:val="32"/>
          <w:lang w:eastAsia="zh-CN"/>
        </w:rPr>
        <w:t>办公用房租金支出</w:t>
      </w:r>
      <w:r>
        <w:rPr>
          <w:rFonts w:ascii="Times New Roman" w:hAnsi="Times New Roman" w:eastAsia="方正仿宋_GBK"/>
          <w:sz w:val="32"/>
          <w:szCs w:val="32"/>
        </w:rPr>
        <w:t>。</w:t>
      </w:r>
    </w:p>
    <w:p>
      <w:pPr>
        <w:pStyle w:val="8"/>
        <w:tabs>
          <w:tab w:val="center" w:pos="4153"/>
          <w:tab w:val="left" w:pos="7275"/>
        </w:tabs>
        <w:spacing w:line="600" w:lineRule="exact"/>
        <w:ind w:firstLine="640"/>
        <w:jc w:val="left"/>
        <w:rPr>
          <w:rFonts w:ascii="Times New Roman" w:hAnsi="Times New Roman" w:eastAsia="方正仿宋_GBK"/>
          <w:sz w:val="32"/>
          <w:szCs w:val="32"/>
        </w:rPr>
      </w:pPr>
      <w:r>
        <w:rPr>
          <w:rFonts w:hint="eastAsia" w:ascii="Times New Roman" w:hAnsi="Times New Roman" w:eastAsia="方正仿宋_GBK"/>
          <w:sz w:val="32"/>
          <w:szCs w:val="32"/>
          <w:lang w:eastAsia="zh-CN"/>
        </w:rPr>
        <w:t>注：</w:t>
      </w:r>
      <w:r>
        <w:rPr>
          <w:rFonts w:hint="eastAsia" w:ascii="Times New Roman" w:hAnsi="Times New Roman" w:eastAsia="方正仿宋_GBK"/>
          <w:sz w:val="32"/>
          <w:szCs w:val="32"/>
          <w:lang w:val="en-US" w:eastAsia="zh-CN"/>
        </w:rPr>
        <w:t>2023年单位预算由区卫生健康委本级统一编制，2024年起独立编制预算，故无两年数据比较。</w:t>
      </w:r>
    </w:p>
    <w:p>
      <w:pPr>
        <w:numPr>
          <w:ilvl w:val="0"/>
          <w:numId w:val="1"/>
        </w:numPr>
        <w:spacing w:line="600" w:lineRule="exact"/>
        <w:ind w:firstLine="640" w:firstLineChars="200"/>
        <w:rPr>
          <w:rFonts w:ascii="Times New Roman" w:hAnsi="Times New Roman" w:eastAsia="黑体"/>
          <w:sz w:val="32"/>
        </w:rPr>
      </w:pPr>
      <w:r>
        <w:rPr>
          <w:rFonts w:ascii="Times New Roman" w:hAnsi="Times New Roman" w:eastAsia="黑体"/>
          <w:sz w:val="32"/>
        </w:rPr>
        <w:t>“三公”经费情况说明</w:t>
      </w:r>
    </w:p>
    <w:p>
      <w:pPr>
        <w:pStyle w:val="8"/>
        <w:tabs>
          <w:tab w:val="center" w:pos="4153"/>
          <w:tab w:val="left" w:pos="7275"/>
        </w:tabs>
        <w:spacing w:line="600" w:lineRule="exact"/>
        <w:ind w:firstLine="640"/>
        <w:jc w:val="left"/>
        <w:rPr>
          <w:rFonts w:hint="eastAsia" w:ascii="Times New Roman" w:hAnsi="Times New Roman" w:eastAsia="方正仿宋_GBK"/>
          <w:sz w:val="32"/>
          <w:szCs w:val="32"/>
          <w:lang w:eastAsia="zh-CN"/>
        </w:rPr>
      </w:pP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年“三公”经费预算</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r>
        <w:rPr>
          <w:rFonts w:hint="eastAsia" w:ascii="Times New Roman" w:hAnsi="Times New Roman" w:eastAsia="方正仿宋_GBK"/>
          <w:sz w:val="32"/>
          <w:szCs w:val="32"/>
          <w:lang w:eastAsia="zh-CN"/>
        </w:rPr>
        <w:t>。</w:t>
      </w:r>
    </w:p>
    <w:p>
      <w:pPr>
        <w:pStyle w:val="8"/>
        <w:tabs>
          <w:tab w:val="center" w:pos="4153"/>
          <w:tab w:val="left" w:pos="7275"/>
        </w:tabs>
        <w:spacing w:line="600" w:lineRule="exact"/>
        <w:ind w:firstLine="640"/>
        <w:jc w:val="left"/>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注：</w:t>
      </w:r>
      <w:r>
        <w:rPr>
          <w:rFonts w:hint="eastAsia" w:ascii="Times New Roman" w:hAnsi="Times New Roman" w:eastAsia="方正仿宋_GBK"/>
          <w:sz w:val="32"/>
          <w:szCs w:val="32"/>
          <w:lang w:val="en-US" w:eastAsia="zh-CN"/>
        </w:rPr>
        <w:t>2023年单位预算由区卫生健康委本级统一编制，2024年起独立编制预算，故无两年数据比较。</w:t>
      </w:r>
    </w:p>
    <w:p>
      <w:pPr>
        <w:numPr>
          <w:ilvl w:val="0"/>
          <w:numId w:val="1"/>
        </w:numPr>
        <w:spacing w:line="600" w:lineRule="exact"/>
        <w:ind w:firstLine="640" w:firstLineChars="200"/>
        <w:rPr>
          <w:rFonts w:ascii="Times New Roman" w:hAnsi="Times New Roman" w:eastAsia="黑体"/>
          <w:sz w:val="32"/>
        </w:rPr>
      </w:pPr>
      <w:r>
        <w:rPr>
          <w:rFonts w:ascii="Times New Roman" w:hAnsi="Times New Roman" w:eastAsia="黑体"/>
          <w:sz w:val="32"/>
        </w:rPr>
        <w:t>其他重要事项的情况说明</w:t>
      </w:r>
    </w:p>
    <w:p>
      <w:pPr>
        <w:pStyle w:val="8"/>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1、我单位不在机关运行经费统计范围之内。</w:t>
      </w:r>
    </w:p>
    <w:p>
      <w:pPr>
        <w:pStyle w:val="8"/>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2、政府采购情况。</w:t>
      </w:r>
      <w:r>
        <w:rPr>
          <w:rFonts w:hint="eastAsia" w:ascii="Times New Roman" w:hAnsi="Times New Roman" w:eastAsia="方正仿宋_GBK"/>
          <w:sz w:val="32"/>
          <w:szCs w:val="32"/>
          <w:lang w:eastAsia="zh-CN"/>
        </w:rPr>
        <w:t>我</w:t>
      </w:r>
      <w:r>
        <w:rPr>
          <w:rFonts w:ascii="Times New Roman" w:hAnsi="Times New Roman" w:eastAsia="方正仿宋_GBK"/>
          <w:sz w:val="32"/>
          <w:szCs w:val="32"/>
        </w:rPr>
        <w:t>单位政府采购预算总额</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万元：政府采购货物预算</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万元、政府采购工程预算</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万元、政府采购服务预算</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万元；其中一般公共预算拨款政府采购</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万元：政府采购货物预算</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万元、政府采购工程预算</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万元、政府采购服务预算</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p>
    <w:p>
      <w:pPr>
        <w:pStyle w:val="8"/>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3、绩效目标设置情况。根据预算绩效管理要求，</w:t>
      </w:r>
      <w:r>
        <w:rPr>
          <w:rFonts w:hint="eastAsia" w:ascii="Times New Roman" w:hAnsi="Times New Roman" w:eastAsia="方正仿宋_GBK"/>
          <w:sz w:val="32"/>
          <w:szCs w:val="32"/>
          <w:lang w:eastAsia="zh-CN"/>
        </w:rPr>
        <w:t>我单位</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年项目支出均实行了绩效目标管理，涉及一般公共预算当年财政拨款</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万元。其中：一般项目</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个，涉及资金</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万元；重点专项</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个，涉及资金</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p>
    <w:p>
      <w:pPr>
        <w:pStyle w:val="8"/>
        <w:tabs>
          <w:tab w:val="center" w:pos="4153"/>
          <w:tab w:val="left" w:pos="7275"/>
        </w:tabs>
        <w:spacing w:line="600" w:lineRule="exact"/>
        <w:ind w:firstLine="640"/>
        <w:jc w:val="left"/>
        <w:rPr>
          <w:rFonts w:hint="eastAsia" w:ascii="Times New Roman" w:hAnsi="Times New Roman" w:eastAsia="方正仿宋_GBK"/>
          <w:sz w:val="32"/>
          <w:szCs w:val="32"/>
          <w:lang w:eastAsia="zh-CN"/>
        </w:rPr>
      </w:pPr>
      <w:r>
        <w:rPr>
          <w:rFonts w:ascii="Times New Roman" w:hAnsi="Times New Roman" w:eastAsia="方正仿宋_GBK"/>
          <w:sz w:val="32"/>
          <w:szCs w:val="32"/>
        </w:rPr>
        <w:t>4、国有资产占有使用情况。</w:t>
      </w:r>
      <w:r>
        <w:rPr>
          <w:rFonts w:hint="eastAsia" w:ascii="Times New Roman" w:hAnsi="Times New Roman" w:eastAsia="方正仿宋_GBK"/>
          <w:sz w:val="32"/>
          <w:szCs w:val="32"/>
          <w:lang w:eastAsia="zh-CN"/>
        </w:rPr>
        <w:t>截至</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年12月，</w:t>
      </w:r>
      <w:r>
        <w:rPr>
          <w:rFonts w:hint="eastAsia" w:ascii="Times New Roman" w:hAnsi="Times New Roman" w:eastAsia="方正仿宋_GBK"/>
          <w:sz w:val="32"/>
          <w:szCs w:val="32"/>
          <w:lang w:eastAsia="zh-CN"/>
        </w:rPr>
        <w:t>本</w:t>
      </w:r>
      <w:r>
        <w:rPr>
          <w:rFonts w:ascii="Times New Roman" w:hAnsi="Times New Roman" w:eastAsia="方正仿宋_GBK"/>
          <w:sz w:val="32"/>
          <w:szCs w:val="32"/>
        </w:rPr>
        <w:t>单位共有车辆</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辆，其中一般公务用车</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辆、执勤执法用车</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辆。202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年一般公共预算安排购置车辆</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辆</w:t>
      </w:r>
      <w:r>
        <w:rPr>
          <w:rFonts w:hint="eastAsia" w:ascii="Times New Roman" w:hAnsi="Times New Roman" w:eastAsia="方正仿宋_GBK"/>
          <w:sz w:val="32"/>
          <w:szCs w:val="32"/>
          <w:lang w:eastAsia="zh-CN"/>
        </w:rPr>
        <w:t>。</w:t>
      </w:r>
    </w:p>
    <w:p>
      <w:pPr>
        <w:numPr>
          <w:ilvl w:val="0"/>
          <w:numId w:val="1"/>
        </w:numPr>
        <w:spacing w:line="600" w:lineRule="exact"/>
        <w:ind w:firstLine="640" w:firstLineChars="200"/>
        <w:rPr>
          <w:rFonts w:ascii="Times New Roman" w:hAnsi="Times New Roman" w:eastAsia="黑体"/>
          <w:sz w:val="32"/>
        </w:rPr>
      </w:pPr>
      <w:r>
        <w:rPr>
          <w:rFonts w:ascii="Times New Roman" w:hAnsi="Times New Roman" w:eastAsia="黑体"/>
          <w:sz w:val="32"/>
        </w:rPr>
        <w:t>专业性名词解释</w:t>
      </w:r>
    </w:p>
    <w:p>
      <w:pPr>
        <w:pStyle w:val="8"/>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（一）财政拨款收入：指本年度从本级财政部门取得的财政拨款，包括一般公共预算财政拨款和政府性基金预算财政拨款。</w:t>
      </w:r>
    </w:p>
    <w:p>
      <w:pPr>
        <w:pStyle w:val="8"/>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（二）其他收入：指单位取得的除“财政拨款收入”、“事业收入”、“经营收入”等以外的收入。</w:t>
      </w:r>
    </w:p>
    <w:p>
      <w:pPr>
        <w:pStyle w:val="8"/>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（三）基本支出：指为保障机构正常运转、完成日常工作任务而发生的人员经费和公用经费。</w:t>
      </w:r>
    </w:p>
    <w:p>
      <w:pPr>
        <w:pStyle w:val="8"/>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（四）项目支出：指在基本支出之外为完成特定行政任务和事业发展目标所发生的支出。</w:t>
      </w:r>
    </w:p>
    <w:p>
      <w:pPr>
        <w:pStyle w:val="8"/>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_GB2312"/>
          <w:color w:val="000000"/>
          <w:sz w:val="32"/>
        </w:rPr>
      </w:pPr>
    </w:p>
    <w:p>
      <w:pPr>
        <w:ind w:firstLine="2249" w:firstLineChars="700"/>
        <w:rPr>
          <w:rFonts w:hint="default" w:ascii="Times New Roman" w:hAnsi="Times New Roman" w:eastAsia="仿宋_GB2312"/>
          <w:b/>
          <w:sz w:val="32"/>
          <w:lang w:val="en-US" w:eastAsia="zh-CN"/>
        </w:rPr>
      </w:pPr>
      <w:r>
        <w:rPr>
          <w:rFonts w:ascii="Times New Roman" w:hAnsi="Times New Roman" w:eastAsia="仿宋_GB2312"/>
          <w:b/>
          <w:sz w:val="32"/>
        </w:rPr>
        <w:t>部门预算公开联系人：</w:t>
      </w:r>
      <w:r>
        <w:rPr>
          <w:rFonts w:hint="eastAsia" w:ascii="Times New Roman" w:hAnsi="Times New Roman" w:eastAsia="仿宋_GB2312"/>
          <w:b/>
          <w:sz w:val="32"/>
          <w:lang w:eastAsia="zh-CN"/>
        </w:rPr>
        <w:t>倪艳</w:t>
      </w:r>
      <w:r>
        <w:rPr>
          <w:rFonts w:hint="eastAsia" w:ascii="Times New Roman" w:hAnsi="Times New Roman" w:eastAsia="仿宋_GB2312"/>
          <w:b/>
          <w:sz w:val="32"/>
          <w:lang w:val="en-US" w:eastAsia="zh-CN"/>
        </w:rPr>
        <w:t xml:space="preserve">      </w:t>
      </w:r>
      <w:r>
        <w:rPr>
          <w:rFonts w:ascii="Times New Roman" w:hAnsi="Times New Roman" w:eastAsia="仿宋_GB2312"/>
          <w:b/>
          <w:sz w:val="32"/>
        </w:rPr>
        <w:t xml:space="preserve">  联系方式：</w:t>
      </w:r>
      <w:r>
        <w:rPr>
          <w:rFonts w:hint="eastAsia" w:ascii="Times New Roman" w:hAnsi="Times New Roman" w:eastAsia="仿宋_GB2312"/>
          <w:b/>
          <w:sz w:val="32"/>
          <w:lang w:val="en-US" w:eastAsia="zh-CN"/>
        </w:rPr>
        <w:t>023-40253109</w:t>
      </w:r>
    </w:p>
    <w:p>
      <w:pPr>
        <w:ind w:firstLine="643" w:firstLineChars="200"/>
        <w:rPr>
          <w:rFonts w:ascii="Times New Roman" w:hAnsi="Times New Roman" w:eastAsia="仿宋_GB2312"/>
          <w:b/>
          <w:sz w:val="32"/>
        </w:rPr>
      </w:pP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7F1BC"/>
    <w:multiLevelType w:val="singleLevel"/>
    <w:tmpl w:val="5847F1B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jMTNlMzFlOTQ0NDg3NWViNTI3ZmQ4YjBlNTYzOGMifQ=="/>
  </w:docVars>
  <w:rsids>
    <w:rsidRoot w:val="004F7D1D"/>
    <w:rsid w:val="00006FB1"/>
    <w:rsid w:val="0001271B"/>
    <w:rsid w:val="00023A4C"/>
    <w:rsid w:val="00042219"/>
    <w:rsid w:val="00047C7A"/>
    <w:rsid w:val="00053834"/>
    <w:rsid w:val="000551A4"/>
    <w:rsid w:val="000624D8"/>
    <w:rsid w:val="0007330D"/>
    <w:rsid w:val="00075914"/>
    <w:rsid w:val="00081D96"/>
    <w:rsid w:val="0008570C"/>
    <w:rsid w:val="00091B93"/>
    <w:rsid w:val="00093301"/>
    <w:rsid w:val="00096685"/>
    <w:rsid w:val="000A60FC"/>
    <w:rsid w:val="000C594E"/>
    <w:rsid w:val="000D2E8F"/>
    <w:rsid w:val="000D6437"/>
    <w:rsid w:val="000F1499"/>
    <w:rsid w:val="000F5707"/>
    <w:rsid w:val="0010264D"/>
    <w:rsid w:val="00106A76"/>
    <w:rsid w:val="00125C07"/>
    <w:rsid w:val="0014404E"/>
    <w:rsid w:val="001525DD"/>
    <w:rsid w:val="00161474"/>
    <w:rsid w:val="00165A74"/>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2E7A45"/>
    <w:rsid w:val="002F3AE1"/>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9017F"/>
    <w:rsid w:val="00492FB3"/>
    <w:rsid w:val="004B1650"/>
    <w:rsid w:val="004C42ED"/>
    <w:rsid w:val="004C60BD"/>
    <w:rsid w:val="004D1E02"/>
    <w:rsid w:val="004E592A"/>
    <w:rsid w:val="004E6E1A"/>
    <w:rsid w:val="004F1853"/>
    <w:rsid w:val="004F7D1D"/>
    <w:rsid w:val="00500B1D"/>
    <w:rsid w:val="00506DF4"/>
    <w:rsid w:val="00507823"/>
    <w:rsid w:val="005228CA"/>
    <w:rsid w:val="00536713"/>
    <w:rsid w:val="00543257"/>
    <w:rsid w:val="00572736"/>
    <w:rsid w:val="0058350C"/>
    <w:rsid w:val="005A1227"/>
    <w:rsid w:val="005A4606"/>
    <w:rsid w:val="005A4AD7"/>
    <w:rsid w:val="005B0F11"/>
    <w:rsid w:val="005B5E28"/>
    <w:rsid w:val="005D50E4"/>
    <w:rsid w:val="005E18A6"/>
    <w:rsid w:val="005F1960"/>
    <w:rsid w:val="006115F1"/>
    <w:rsid w:val="00620BCE"/>
    <w:rsid w:val="0066585E"/>
    <w:rsid w:val="006809FA"/>
    <w:rsid w:val="006C01C3"/>
    <w:rsid w:val="006D0C33"/>
    <w:rsid w:val="006D1609"/>
    <w:rsid w:val="006E0BEC"/>
    <w:rsid w:val="006E455F"/>
    <w:rsid w:val="006F55C1"/>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655E"/>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65450"/>
    <w:rsid w:val="00B72347"/>
    <w:rsid w:val="00B86388"/>
    <w:rsid w:val="00BB3B39"/>
    <w:rsid w:val="00BC2C3D"/>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8D9"/>
    <w:rsid w:val="00D64C2C"/>
    <w:rsid w:val="00D66063"/>
    <w:rsid w:val="00D77D37"/>
    <w:rsid w:val="00D80BC2"/>
    <w:rsid w:val="00D8620E"/>
    <w:rsid w:val="00DA7788"/>
    <w:rsid w:val="00DA7FE6"/>
    <w:rsid w:val="00DB0EC5"/>
    <w:rsid w:val="00DB2D78"/>
    <w:rsid w:val="00DB4539"/>
    <w:rsid w:val="00DE3685"/>
    <w:rsid w:val="00DE5805"/>
    <w:rsid w:val="00E00D68"/>
    <w:rsid w:val="00E01CEB"/>
    <w:rsid w:val="00E11FB2"/>
    <w:rsid w:val="00E275D0"/>
    <w:rsid w:val="00E40ED1"/>
    <w:rsid w:val="00E4747D"/>
    <w:rsid w:val="00E712B9"/>
    <w:rsid w:val="00E96899"/>
    <w:rsid w:val="00EC09E7"/>
    <w:rsid w:val="00EC409D"/>
    <w:rsid w:val="00EE21B6"/>
    <w:rsid w:val="00EF1B14"/>
    <w:rsid w:val="00EF782E"/>
    <w:rsid w:val="00EF7D6B"/>
    <w:rsid w:val="00F11A07"/>
    <w:rsid w:val="00F258CE"/>
    <w:rsid w:val="00F605C0"/>
    <w:rsid w:val="00F66710"/>
    <w:rsid w:val="00F84112"/>
    <w:rsid w:val="00F86A3C"/>
    <w:rsid w:val="00F90464"/>
    <w:rsid w:val="00F9492F"/>
    <w:rsid w:val="00FC2169"/>
    <w:rsid w:val="00FC2267"/>
    <w:rsid w:val="00FE12C3"/>
    <w:rsid w:val="00FE28C5"/>
    <w:rsid w:val="05624E50"/>
    <w:rsid w:val="078276C3"/>
    <w:rsid w:val="08162D3B"/>
    <w:rsid w:val="09F5258E"/>
    <w:rsid w:val="0AA20915"/>
    <w:rsid w:val="0F747EFE"/>
    <w:rsid w:val="0F7760E6"/>
    <w:rsid w:val="12487BE7"/>
    <w:rsid w:val="185F17DF"/>
    <w:rsid w:val="187B0AAE"/>
    <w:rsid w:val="18CC21E2"/>
    <w:rsid w:val="19D75DEA"/>
    <w:rsid w:val="1E1B17F7"/>
    <w:rsid w:val="207877AC"/>
    <w:rsid w:val="2C231378"/>
    <w:rsid w:val="2E9D15DD"/>
    <w:rsid w:val="31460C85"/>
    <w:rsid w:val="32493CDB"/>
    <w:rsid w:val="32C646B2"/>
    <w:rsid w:val="3460284E"/>
    <w:rsid w:val="369144FF"/>
    <w:rsid w:val="39456586"/>
    <w:rsid w:val="39DD1C65"/>
    <w:rsid w:val="3B9E71A3"/>
    <w:rsid w:val="3BC5739B"/>
    <w:rsid w:val="3CC8572C"/>
    <w:rsid w:val="3DC93A95"/>
    <w:rsid w:val="4041622A"/>
    <w:rsid w:val="41032B4D"/>
    <w:rsid w:val="45562FE3"/>
    <w:rsid w:val="48310C7F"/>
    <w:rsid w:val="52194703"/>
    <w:rsid w:val="54490ECA"/>
    <w:rsid w:val="59E8374D"/>
    <w:rsid w:val="59EE2290"/>
    <w:rsid w:val="5E4030C1"/>
    <w:rsid w:val="60DD2A3F"/>
    <w:rsid w:val="64BC4800"/>
    <w:rsid w:val="683C6779"/>
    <w:rsid w:val="6D6A6584"/>
    <w:rsid w:val="6E921681"/>
    <w:rsid w:val="778D466D"/>
    <w:rsid w:val="796923D4"/>
    <w:rsid w:val="7CF65F71"/>
    <w:rsid w:val="7E1702B1"/>
    <w:rsid w:val="7F1640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List Paragraph"/>
    <w:basedOn w:val="1"/>
    <w:qFormat/>
    <w:uiPriority w:val="34"/>
    <w:pPr>
      <w:ind w:firstLine="420" w:firstLineChars="200"/>
    </w:pPr>
  </w:style>
  <w:style w:type="character" w:customStyle="1" w:styleId="9">
    <w:name w:val="批注框文本 Char"/>
    <w:link w:val="2"/>
    <w:qFormat/>
    <w:uiPriority w:val="0"/>
    <w:rPr>
      <w:kern w:val="2"/>
      <w:sz w:val="18"/>
      <w:szCs w:val="18"/>
    </w:rPr>
  </w:style>
  <w:style w:type="character" w:customStyle="1" w:styleId="10">
    <w:name w:val="页脚 Char"/>
    <w:link w:val="3"/>
    <w:qFormat/>
    <w:uiPriority w:val="0"/>
    <w:rPr>
      <w:kern w:val="2"/>
      <w:sz w:val="18"/>
      <w:szCs w:val="18"/>
    </w:rPr>
  </w:style>
  <w:style w:type="character" w:customStyle="1" w:styleId="11">
    <w:name w:val="页眉 Char"/>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292</Words>
  <Characters>1665</Characters>
  <Lines>13</Lines>
  <Paragraphs>3</Paragraphs>
  <TotalTime>6</TotalTime>
  <ScaleCrop>false</ScaleCrop>
  <LinksUpToDate>false</LinksUpToDate>
  <CharactersWithSpaces>1954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2018-12-17T06:47:00Z</dcterms:created>
  <dc:creator>Administrator</dc:creator>
  <cp:lastModifiedBy>admin</cp:lastModifiedBy>
  <cp:lastPrinted>2018-01-02T08:11:00Z</cp:lastPrinted>
  <dcterms:modified xsi:type="dcterms:W3CDTF">2024-01-25T07:42:00Z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46341A84CB7A476DB39FE8A3A740F4CB</vt:lpwstr>
  </property>
</Properties>
</file>