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重庆市长寿区云台镇卫生院</w:t>
      </w:r>
    </w:p>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重庆市长寿区云台镇卫生院为正科级差额拨款公益一类卫生事业单位，一类卫生院，人员编制57人，2024年我院实有在职在编人员52人，其中专业技术人员52人（副高职称6人，中级职称17人，初级职称29人)。另有临聘人员19人，退休返聘1人，派遣工6人；编制病床数99张，其中卫生院本部74张、黄葛病区25张，2024年我院实有病床数99张。</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Times New Roman" w:hAnsi="Times New Roman" w:eastAsia="方正仿宋_GBK" w:cs="Times New Roman"/>
          <w:b w:val="0"/>
          <w:bCs/>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医院科室设置齐全，现设有内科、儿科、外科、妇产科、中医科、放射科、检验室、B超心电室、西药房、治疗室、手术室、胃镜室、公共卫生科、收费室、财务室、院办公室、医疗保险报销办公室等科室。在区卫生健康委等上级有关部门的领导下，主要负责辖区疾病预防控制、妇幼保健、健康教育、卫生监督、突发公共卫生事件处理等公共卫生服务及向辖区居民提供基本医疗及计划生育服务；同时负责履行本辖区内卫生综合管理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w:t>
      </w:r>
      <w:r>
        <w:rPr>
          <w:rStyle w:val="10"/>
          <w:rFonts w:hint="default" w:ascii="方正黑体_GBK" w:hAnsi="方正黑体_GBK" w:eastAsia="方正黑体_GBK" w:cs="方正黑体_GBK"/>
          <w:b w:val="0"/>
          <w:bCs/>
          <w:sz w:val="32"/>
          <w:szCs w:val="32"/>
          <w:shd w:val="clear" w:color="auto" w:fill="FFFFFF"/>
          <w:lang w:eastAsia="zh-CN"/>
        </w:rPr>
        <w:t>单位</w:t>
      </w:r>
      <w:r>
        <w:rPr>
          <w:rStyle w:val="10"/>
          <w:rFonts w:hint="default" w:ascii="方正黑体_GBK" w:hAnsi="方正黑体_GBK" w:eastAsia="方正黑体_GBK" w:cs="方正黑体_GBK"/>
          <w:b w:val="0"/>
          <w:bCs/>
          <w:sz w:val="32"/>
          <w:szCs w:val="32"/>
          <w:shd w:val="clear" w:color="auto" w:fill="FFFFFF"/>
        </w:rPr>
        <w:t>决算</w:t>
      </w:r>
      <w:r>
        <w:rPr>
          <w:rStyle w:val="10"/>
          <w:rFonts w:hint="default" w:ascii="方正黑体_GBK" w:hAnsi="方正黑体_GBK" w:eastAsia="方正黑体_GBK" w:cs="方正黑体_GBK"/>
          <w:b w:val="0"/>
          <w:bCs/>
          <w:sz w:val="32"/>
          <w:szCs w:val="32"/>
          <w:shd w:val="clear" w:color="auto" w:fill="FFFFFF"/>
          <w:lang w:eastAsia="zh-CN"/>
        </w:rPr>
        <w:t>收支</w:t>
      </w:r>
      <w:r>
        <w:rPr>
          <w:rStyle w:val="10"/>
          <w:rFonts w:hint="default" w:ascii="方正黑体_GBK" w:hAnsi="方正黑体_GBK" w:eastAsia="方正黑体_GBK" w:cs="方正黑体_GBK"/>
          <w:b w:val="0"/>
          <w:bCs/>
          <w:sz w:val="32"/>
          <w:szCs w:val="32"/>
          <w:shd w:val="clear" w:color="auto" w:fill="FFFFFF"/>
        </w:rPr>
        <w:t>情况说明</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（一）收入支出决算总体情况说明</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3" w:firstLineChars="200"/>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度收入总计2276.18万元，支出总计</w:t>
      </w:r>
      <w:r>
        <w:rPr>
          <w:rFonts w:hint="default" w:ascii="Times New Roman" w:hAnsi="Times New Roman" w:eastAsia="方正仿宋_GBK" w:cs="Times New Roman"/>
          <w:sz w:val="32"/>
          <w:szCs w:val="32"/>
        </w:rPr>
        <w:t>2276.18</w:t>
      </w:r>
      <w:r>
        <w:rPr>
          <w:rFonts w:hint="default" w:ascii="Times New Roman" w:hAnsi="Times New Roman" w:eastAsia="方正仿宋_GBK" w:cs="Times New Roman"/>
          <w:sz w:val="32"/>
          <w:szCs w:val="32"/>
          <w:shd w:val="clear" w:color="auto" w:fill="FFFFFF"/>
        </w:rPr>
        <w:t>万元。收支总额与2023年度相比，增加22.03万元，增长1.0%。</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度收入合计2273.84万元，与2023年度相比，增加314.34万元，增长16.0%</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1059.7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46.6%</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1094.11</w:t>
      </w:r>
      <w:r>
        <w:rPr>
          <w:rFonts w:hint="default" w:ascii="Times New Roman" w:hAnsi="Times New Roman" w:eastAsia="方正仿宋_GBK" w:cs="Times New Roman"/>
          <w:sz w:val="32"/>
          <w:szCs w:val="32"/>
          <w:shd w:val="clear" w:color="auto" w:fill="FFFFFF"/>
        </w:rPr>
        <w:t>万元，占48.1%；经营收入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120.03</w:t>
      </w:r>
      <w:r>
        <w:rPr>
          <w:rFonts w:hint="default" w:ascii="Times New Roman" w:hAnsi="Times New Roman" w:eastAsia="方正仿宋_GBK" w:cs="Times New Roman"/>
          <w:sz w:val="32"/>
          <w:szCs w:val="32"/>
          <w:shd w:val="clear" w:color="auto" w:fill="FFFFFF"/>
        </w:rPr>
        <w:t>万元，占5.3%</w:t>
      </w:r>
      <w:r>
        <w:rPr>
          <w:rFonts w:hint="default" w:ascii="Times New Roman" w:hAnsi="Times New Roman" w:eastAsia="方正仿宋_GBK" w:cs="Times New Roman"/>
          <w:sz w:val="32"/>
          <w:szCs w:val="32"/>
          <w:highlight w:val="none"/>
          <w:shd w:val="clear" w:color="auto" w:fill="FFFFFF"/>
        </w:rPr>
        <w:t>。此外，使用非财政拨款结余（含专用结余）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2.34</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2254.6</w:t>
      </w:r>
      <w:r>
        <w:rPr>
          <w:rFonts w:hint="default" w:ascii="Times New Roman" w:hAnsi="Times New Roman" w:eastAsia="方正仿宋_GBK" w:cs="Times New Roman"/>
          <w:sz w:val="32"/>
          <w:szCs w:val="32"/>
          <w:shd w:val="clear" w:color="auto" w:fill="FFFFFF"/>
        </w:rPr>
        <w:t>万元，与2023年度相比，增加2.79万元，增长0.1%</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2027.26</w:t>
      </w:r>
      <w:r>
        <w:rPr>
          <w:rFonts w:hint="default" w:ascii="Times New Roman" w:hAnsi="Times New Roman" w:eastAsia="方正仿宋_GBK" w:cs="Times New Roman"/>
          <w:sz w:val="32"/>
          <w:szCs w:val="32"/>
          <w:shd w:val="clear" w:color="auto" w:fill="FFFFFF"/>
        </w:rPr>
        <w:t>万元，占89.9%；项目支出</w:t>
      </w:r>
      <w:r>
        <w:rPr>
          <w:rFonts w:hint="default" w:ascii="Times New Roman" w:hAnsi="Times New Roman" w:eastAsia="方正仿宋_GBK" w:cs="Times New Roman"/>
          <w:sz w:val="32"/>
          <w:szCs w:val="32"/>
        </w:rPr>
        <w:t>227.34</w:t>
      </w:r>
      <w:r>
        <w:rPr>
          <w:rFonts w:hint="default" w:ascii="Times New Roman" w:hAnsi="Times New Roman" w:eastAsia="方正仿宋_GBK" w:cs="Times New Roman"/>
          <w:sz w:val="32"/>
          <w:szCs w:val="32"/>
          <w:shd w:val="clear" w:color="auto" w:fill="FFFFFF"/>
        </w:rPr>
        <w:t>万元，占10.1%；经营支出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21.57</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万元，与2023年度相比，减少2.34万元，下降100.0%</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（二）财政拨款收入支出决算总体情况说明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度财政拨款收支总计1062.04万元。与202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年相比，财政拨款收支总计各增加86.94万元，增长8.9%。</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（三）一般公共预算财政拨款收入支出决算情况说明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1059.7</w:t>
      </w:r>
      <w:r>
        <w:rPr>
          <w:rFonts w:hint="default" w:ascii="Times New Roman" w:hAnsi="Times New Roman" w:eastAsia="方正仿宋_GBK" w:cs="Times New Roman"/>
          <w:sz w:val="32"/>
          <w:szCs w:val="32"/>
          <w:shd w:val="clear" w:color="auto" w:fill="FFFFFF"/>
        </w:rPr>
        <w:t>万元，与2023年度相比，增加157.11万元，增长17.4%。较年初预算数增加160.88万元，增长17.9%。此外，年初财政拨款结转和结余</w:t>
      </w:r>
      <w:r>
        <w:rPr>
          <w:rFonts w:hint="default" w:ascii="Times New Roman" w:hAnsi="Times New Roman" w:eastAsia="方正仿宋_GBK" w:cs="Times New Roman"/>
          <w:sz w:val="32"/>
          <w:szCs w:val="32"/>
        </w:rPr>
        <w:t>2.34</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1062.04</w:t>
      </w:r>
      <w:r>
        <w:rPr>
          <w:rFonts w:hint="default" w:ascii="Times New Roman" w:hAnsi="Times New Roman" w:eastAsia="方正仿宋_GBK" w:cs="Times New Roman"/>
          <w:sz w:val="32"/>
          <w:szCs w:val="32"/>
          <w:shd w:val="clear" w:color="auto" w:fill="FFFFFF"/>
        </w:rPr>
        <w:t>万元，与2023年度相比，增加148.62万元，增长16.3%。较年初预算数增加163.22万元，增长18.2%</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万元，与2023年度相比，减少2.34万元，下降100.0%</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（1）社会</w:t>
      </w:r>
      <w:r>
        <w:rPr>
          <w:rFonts w:hint="default" w:ascii="Times New Roman" w:hAnsi="Times New Roman" w:eastAsia="方正仿宋_GBK" w:cs="Times New Roman"/>
          <w:sz w:val="32"/>
          <w:szCs w:val="32"/>
          <w:highlight w:val="none"/>
          <w:shd w:val="clear" w:color="auto" w:fill="FFFFFF"/>
        </w:rPr>
        <w:t>保障</w:t>
      </w:r>
      <w:r>
        <w:rPr>
          <w:rFonts w:hint="default" w:ascii="Times New Roman" w:hAnsi="Times New Roman" w:eastAsia="方正仿宋_GBK" w:cs="Times New Roman"/>
          <w:sz w:val="32"/>
          <w:szCs w:val="32"/>
          <w:highlight w:val="none"/>
          <w:shd w:val="clear" w:color="auto" w:fill="FFFFFF"/>
          <w:lang w:eastAsia="zh-CN"/>
        </w:rPr>
        <w:t>和</w:t>
      </w:r>
      <w:r>
        <w:rPr>
          <w:rFonts w:hint="default" w:ascii="Times New Roman" w:hAnsi="Times New Roman" w:eastAsia="方正仿宋_GBK" w:cs="Times New Roman"/>
          <w:sz w:val="32"/>
          <w:szCs w:val="32"/>
          <w:highlight w:val="none"/>
          <w:shd w:val="clear" w:color="auto" w:fill="FFFFFF"/>
        </w:rPr>
        <w:t>就业支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189.36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17.8%</w:t>
      </w:r>
      <w:r>
        <w:rPr>
          <w:rFonts w:hint="default" w:ascii="Times New Roman" w:hAnsi="Times New Roman" w:eastAsia="方正仿宋_GBK" w:cs="Times New Roman"/>
          <w:sz w:val="32"/>
          <w:szCs w:val="32"/>
          <w:shd w:val="clear" w:color="auto" w:fill="FFFFFF"/>
        </w:rPr>
        <w:t>，较年初预算数增加23.23万元，增长14.0%，主要原因是</w:t>
      </w:r>
      <w:r>
        <w:rPr>
          <w:rFonts w:hint="default" w:ascii="Times New Roman" w:hAnsi="Times New Roman" w:eastAsia="方正仿宋_GBK" w:cs="Times New Roman"/>
          <w:sz w:val="32"/>
          <w:szCs w:val="32"/>
          <w:shd w:val="clear" w:color="auto" w:fill="FFFFFF"/>
          <w:lang w:eastAsia="zh-CN"/>
        </w:rPr>
        <w:t>将超额绩效纳入了养老保险和职业年金缴费基数，养老支出增加。</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846.01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79.7%</w:t>
      </w:r>
      <w:r>
        <w:rPr>
          <w:rFonts w:hint="default" w:ascii="Times New Roman" w:hAnsi="Times New Roman" w:eastAsia="方正仿宋_GBK" w:cs="Times New Roman"/>
          <w:sz w:val="32"/>
          <w:szCs w:val="32"/>
          <w:shd w:val="clear" w:color="auto" w:fill="FFFFFF"/>
        </w:rPr>
        <w:t>，较年初预算数增加142.03万元，增长20.2%</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kinsoku/>
        <w:overflowPunct/>
        <w:topLinePunct w:val="0"/>
        <w:autoSpaceDN/>
        <w:bidi w:val="0"/>
        <w:adjustRightInd/>
        <w:spacing w:beforeAutospacing="0" w:afterAutospacing="0" w:line="600" w:lineRule="exact"/>
        <w:ind w:firstLine="640" w:firstLineChars="200"/>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住房保障支出26.67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w:t>
      </w:r>
      <w:r>
        <w:rPr>
          <w:rFonts w:hint="default" w:ascii="Times New Roman" w:hAnsi="Times New Roman" w:eastAsia="方正仿宋_GBK" w:cs="Times New Roman"/>
          <w:sz w:val="32"/>
          <w:szCs w:val="32"/>
          <w:shd w:val="clear" w:color="auto" w:fill="FFFFFF"/>
        </w:rPr>
        <w:t>，较年初预算数减少2.04万元，下降7.1%</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（四）一般公共预算财政拨款基本支出决算情况说明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834.7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833.4</w:t>
      </w:r>
      <w:r>
        <w:rPr>
          <w:rFonts w:hint="default" w:ascii="Times New Roman" w:hAnsi="Times New Roman" w:eastAsia="方正仿宋_GBK" w:cs="Times New Roman"/>
          <w:sz w:val="32"/>
          <w:szCs w:val="32"/>
          <w:shd w:val="clear" w:color="auto" w:fill="FFFFFF"/>
        </w:rPr>
        <w:t>万元，与2023年度相比，增加134.1万元，增长19.2%，主要原因是将超额绩效纳入了养老保险和职业年金缴费基数，养老支出增加。人员经费用途主要包括基本工资、津补贴、绩效工资、机关事业单位基本养老保险缴费、职业年金缴费、职工基本医疗保险缴费、其他社会保障缴费、住房公积金、其他工资福利支出及对个人和家庭</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rPr>
        <w:t>补助支出。公用经费</w:t>
      </w:r>
      <w:r>
        <w:rPr>
          <w:rFonts w:hint="default" w:ascii="Times New Roman" w:hAnsi="Times New Roman" w:eastAsia="方正仿宋_GBK" w:cs="Times New Roman"/>
          <w:sz w:val="32"/>
          <w:szCs w:val="32"/>
        </w:rPr>
        <w:t>1.30</w:t>
      </w:r>
      <w:r>
        <w:rPr>
          <w:rFonts w:hint="default" w:ascii="Times New Roman" w:hAnsi="Times New Roman" w:eastAsia="方正仿宋_GBK" w:cs="Times New Roman"/>
          <w:sz w:val="32"/>
          <w:szCs w:val="32"/>
          <w:shd w:val="clear" w:color="auto" w:fill="FFFFFF"/>
        </w:rPr>
        <w:t>万元，与2023年度相比，减少0.05万元，下降3.7%，主要原因是</w:t>
      </w:r>
      <w:r>
        <w:rPr>
          <w:rFonts w:hint="default" w:ascii="Times New Roman" w:hAnsi="Times New Roman" w:eastAsia="方正仿宋_GBK" w:cs="Times New Roman"/>
          <w:sz w:val="32"/>
          <w:szCs w:val="32"/>
          <w:shd w:val="clear" w:color="auto" w:fill="FFFFFF"/>
          <w:lang w:eastAsia="zh-CN"/>
        </w:rPr>
        <w:t>落实财政过紧日子</w:t>
      </w:r>
      <w:r>
        <w:rPr>
          <w:rFonts w:hint="eastAsia" w:ascii="Times New Roman" w:hAnsi="Times New Roman" w:eastAsia="方正仿宋_GBK" w:cs="Times New Roman"/>
          <w:sz w:val="32"/>
          <w:szCs w:val="32"/>
          <w:shd w:val="clear" w:color="auto" w:fill="FFFFFF"/>
          <w:lang w:eastAsia="zh-CN"/>
        </w:rPr>
        <w:t>的</w:t>
      </w:r>
      <w:r>
        <w:rPr>
          <w:rFonts w:hint="default" w:ascii="Times New Roman" w:hAnsi="Times New Roman" w:eastAsia="方正仿宋_GBK" w:cs="Times New Roman"/>
          <w:sz w:val="32"/>
          <w:szCs w:val="32"/>
          <w:shd w:val="clear" w:color="auto" w:fill="FFFFFF"/>
          <w:lang w:eastAsia="zh-CN"/>
        </w:rPr>
        <w:t>要求，减少了商品和服务支出。</w:t>
      </w:r>
      <w:r>
        <w:rPr>
          <w:rFonts w:hint="default" w:ascii="Times New Roman" w:hAnsi="Times New Roman" w:eastAsia="方正仿宋_GBK" w:cs="Times New Roman"/>
          <w:sz w:val="32"/>
          <w:szCs w:val="32"/>
          <w:shd w:val="clear" w:color="auto" w:fill="FFFFFF"/>
        </w:rPr>
        <w:t>公用经费用途主要包括水费、电费、气费、专用材料费和委托业务费等。</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shd w:val="clear" w:color="auto" w:fill="FFFFFF"/>
          <w:lang w:eastAsia="zh-CN"/>
        </w:rPr>
        <w:t>无政府性基金预算财政拨款收支。</w:t>
      </w:r>
    </w:p>
    <w:p>
      <w:pPr>
        <w:pStyle w:val="6"/>
        <w:keepNext w:val="0"/>
        <w:keepLines w:val="0"/>
        <w:pageBreakBefore w:val="0"/>
        <w:shd w:val="clear" w:color="auto" w:fill="FFFFFF"/>
        <w:kinsoku/>
        <w:overflowPunct/>
        <w:topLinePunct w:val="0"/>
        <w:autoSpaceDN/>
        <w:bidi w:val="0"/>
        <w:adjustRightInd/>
        <w:spacing w:beforeAutospacing="0" w:afterAutospacing="0" w:line="600"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hint="default"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三、</w:t>
      </w:r>
      <w:r>
        <w:rPr>
          <w:rStyle w:val="10"/>
          <w:rFonts w:hint="default" w:ascii="方正黑体_GBK" w:hAnsi="方正黑体_GBK" w:eastAsia="方正黑体_GBK" w:cs="方正黑体_GBK"/>
          <w:b w:val="0"/>
          <w:bCs/>
          <w:sz w:val="32"/>
          <w:szCs w:val="32"/>
          <w:shd w:val="clear" w:color="auto" w:fill="FFFFFF"/>
          <w:lang w:eastAsia="zh-CN"/>
        </w:rPr>
        <w:t>财政拨款</w:t>
      </w:r>
      <w:r>
        <w:rPr>
          <w:rStyle w:val="10"/>
          <w:rFonts w:hint="default"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我单位属于卫健委下属公益一类事业差额拨款单位，财政未保障我单位“三公”经费。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（一）财政拨款会议费和培训费情况说明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本单位为卫健委下属公益一类事业差额拨款单位，财政未保障我单位会议费和培训费。</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（二）机关运行经费情况说明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（三）国有资产占用情况说明</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shd w:val="clear" w:color="auto" w:fill="FFFFFF"/>
          <w:lang w:eastAsia="zh-CN"/>
        </w:rPr>
        <w:t>其中</w:t>
      </w:r>
      <w:r>
        <w:rPr>
          <w:rFonts w:hint="default" w:ascii="Times New Roman" w:hAnsi="Times New Roman" w:eastAsia="方正仿宋_GBK" w:cs="Times New Roman"/>
          <w:sz w:val="32"/>
          <w:szCs w:val="32"/>
          <w:shd w:val="clear" w:color="auto" w:fill="FFFFFF"/>
        </w:rPr>
        <w:t>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单价100万元（含）以上专用设备</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sz w:val="32"/>
          <w:szCs w:val="32"/>
          <w:shd w:val="clear" w:color="auto" w:fill="FFFFFF"/>
          <w:lang w:val="en-US" w:eastAsia="zh-CN" w:bidi="ar-SA"/>
        </w:rPr>
      </w:pPr>
      <w:r>
        <w:rPr>
          <w:rStyle w:val="10"/>
          <w:rFonts w:hint="default" w:ascii="方正楷体_GBK" w:hAnsi="方正楷体_GBK" w:eastAsia="方正楷体_GBK" w:cs="方正楷体_GBK"/>
          <w:b w:val="0"/>
          <w:bCs/>
          <w:sz w:val="32"/>
          <w:szCs w:val="32"/>
          <w:shd w:val="clear" w:color="auto" w:fill="FFFFFF"/>
          <w:lang w:val="en-US" w:eastAsia="zh-CN" w:bidi="ar-SA"/>
        </w:rPr>
        <w:t>（四）政府采购支出情况说明</w:t>
      </w:r>
    </w:p>
    <w:p>
      <w:pPr>
        <w:pStyle w:val="6"/>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2.52万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2.52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五、预算绩效管理情况说明</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根据预算绩效管理要求，我单位对1个项目开展了绩效自评，涉及财政拨款项目支出资金225万元。</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（二）绩</w:t>
      </w:r>
      <w:bookmarkStart w:id="0" w:name="_GoBack"/>
      <w:bookmarkEnd w:id="0"/>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600" w:lineRule="exact"/>
        <w:ind w:right="0" w:firstLine="640" w:firstLineChars="200"/>
        <w:jc w:val="left"/>
        <w:textAlignment w:val="auto"/>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绩效自评结果详见附件2024年度绩效自评公开表（《部门整体绩效自评表》、《项目绩效自评结果汇总表》、《项目支出绩效自评表》）。</w:t>
      </w:r>
    </w:p>
    <w:p>
      <w:pPr>
        <w:pStyle w:val="11"/>
        <w:keepNext w:val="0"/>
        <w:keepLines w:val="0"/>
        <w:pageBreakBefore w:val="0"/>
        <w:kinsoku/>
        <w:overflowPunct/>
        <w:topLinePunct w:val="0"/>
        <w:autoSpaceDE w:val="0"/>
        <w:autoSpaceDN/>
        <w:bidi w:val="0"/>
        <w:adjustRightInd/>
        <w:spacing w:beforeAutospacing="0" w:afterAutospacing="0" w:line="600" w:lineRule="exact"/>
        <w:ind w:left="0" w:leftChars="0" w:firstLine="640" w:firstLineChars="200"/>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pPr>
      <w:r>
        <w:rPr>
          <w:rStyle w:val="10"/>
          <w:rFonts w:hint="default" w:ascii="方正楷体_GBK" w:hAnsi="方正楷体_GBK" w:eastAsia="方正楷体_GBK" w:cs="方正楷体_GBK"/>
          <w:b w:val="0"/>
          <w:bCs/>
          <w:color w:val="auto"/>
          <w:sz w:val="32"/>
          <w:szCs w:val="32"/>
          <w:highlight w:val="none"/>
          <w:shd w:val="clear" w:color="auto" w:fill="FFFFFF"/>
          <w:lang w:val="en-US" w:eastAsia="zh-CN" w:bidi="ar-SA"/>
        </w:rPr>
        <w:t>（三）财政绩效评价情况</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600" w:lineRule="exact"/>
        <w:ind w:right="0" w:firstLine="640" w:firstLineChars="200"/>
        <w:jc w:val="both"/>
        <w:textAlignment w:val="auto"/>
        <w:rPr>
          <w:rStyle w:val="10"/>
          <w:rFonts w:hint="default" w:ascii="Times New Roman" w:hAnsi="Times New Roman" w:eastAsia="方正楷体_GBK" w:cs="Times New Roman"/>
          <w:color w:val="auto"/>
          <w:sz w:val="32"/>
          <w:szCs w:val="32"/>
          <w:highlight w:val="none"/>
          <w:shd w:val="clear" w:color="auto" w:fill="FFFFFF"/>
        </w:rPr>
      </w:pPr>
      <w:r>
        <w:rPr>
          <w:rStyle w:val="10"/>
          <w:rFonts w:hint="eastAsia" w:ascii="方正仿宋_GBK" w:hAnsi="方正仿宋_GBK" w:eastAsia="方正仿宋_GBK" w:cs="方正仿宋_GBK"/>
          <w:b w:val="0"/>
          <w:bCs/>
          <w:color w:val="auto"/>
          <w:sz w:val="32"/>
          <w:szCs w:val="32"/>
          <w:highlight w:val="none"/>
          <w:shd w:val="clear" w:color="auto" w:fill="FFFFFF"/>
          <w:lang w:val="en-US" w:eastAsia="zh-CN"/>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0"/>
          <w:rFonts w:hint="default" w:ascii="方正黑体_GBK" w:hAnsi="方正黑体_GBK" w:eastAsia="方正黑体_GBK" w:cs="方正黑体_GBK"/>
          <w:b w:val="0"/>
          <w:bCs/>
          <w:color w:val="auto"/>
          <w:sz w:val="32"/>
          <w:szCs w:val="32"/>
          <w:highlight w:val="none"/>
          <w:shd w:val="clear" w:color="auto" w:fill="FFFFFF"/>
          <w:lang w:val="en-US" w:eastAsia="zh-CN" w:bidi="ar-SA"/>
        </w:rPr>
      </w:pPr>
      <w:r>
        <w:rPr>
          <w:rStyle w:val="10"/>
          <w:rFonts w:hint="default" w:ascii="方正黑体_GBK" w:hAnsi="方正黑体_GBK" w:eastAsia="方正黑体_GBK" w:cs="方正黑体_GBK"/>
          <w:b w:val="0"/>
          <w:bCs/>
          <w:color w:val="auto"/>
          <w:sz w:val="32"/>
          <w:szCs w:val="32"/>
          <w:highlight w:val="none"/>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（十六）对个人和家庭的补助</w:t>
      </w:r>
      <w:r>
        <w:rPr>
          <w:rStyle w:val="10"/>
          <w:rFonts w:hint="eastAsia" w:ascii="方正楷体_GBK" w:hAnsi="方正楷体_GBK" w:eastAsia="方正楷体_GBK" w:cs="方正楷体_GBK"/>
          <w:b w:val="0"/>
          <w:bCs/>
          <w:sz w:val="32"/>
          <w:szCs w:val="32"/>
          <w:shd w:val="clear" w:color="auto" w:fill="FFFFFF"/>
          <w:lang w:val="en-US" w:eastAsia="zh-CN" w:bidi="ar-SA"/>
        </w:rPr>
        <w:t>支出</w:t>
      </w:r>
      <w:r>
        <w:rPr>
          <w:rStyle w:val="10"/>
          <w:rFonts w:hint="default" w:ascii="方正楷体_GBK" w:hAnsi="方正楷体_GBK" w:eastAsia="方正楷体_GBK" w:cs="方正楷体_GBK"/>
          <w:b w:val="0"/>
          <w:bCs/>
          <w:sz w:val="32"/>
          <w:szCs w:val="32"/>
          <w:shd w:val="clear" w:color="auto" w:fill="FFFFFF"/>
          <w:lang w:val="en-US" w:eastAsia="zh-CN" w:bidi="ar-SA"/>
        </w:rPr>
        <w:t>（支出经济分类科目类级）：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Style w:val="10"/>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tabs>
          <w:tab w:val="center" w:pos="4157"/>
        </w:tabs>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vanish w:val="0"/>
          <w:sz w:val="24"/>
          <w:lang w:val="en-US" w:eastAsia="zh-CN"/>
        </w:rPr>
      </w:pPr>
      <w:r>
        <w:rPr>
          <w:rFonts w:hint="default" w:ascii="Times New Roman" w:hAnsi="Times New Roman" w:eastAsia="方正仿宋_GBK" w:cs="Times New Roman"/>
          <w:color w:val="auto"/>
          <w:kern w:val="0"/>
          <w:sz w:val="32"/>
          <w:szCs w:val="32"/>
          <w:shd w:val="clear" w:fill="FFFFFF"/>
          <w:lang w:eastAsia="zh-CN"/>
        </w:rPr>
        <w:t>郑渝兰</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818800</w:t>
      </w:r>
      <w:r>
        <w:rPr>
          <w:rFonts w:hint="eastAsia" w:ascii="Times New Roman" w:hAnsi="Times New Roman" w:eastAsia="方正仿宋_GBK" w:cs="Times New Roman"/>
          <w:color w:val="auto"/>
          <w:kern w:val="0"/>
          <w:sz w:val="32"/>
          <w:szCs w:val="32"/>
          <w:shd w:val="clear" w:fill="FFFFFF"/>
          <w:lang w:val="en-US" w:eastAsia="zh-CN"/>
        </w:rPr>
        <w:t>59</w:t>
      </w:r>
    </w:p>
    <w:sectPr>
      <w:headerReference r:id="rId3" w:type="default"/>
      <w:footerReference r:id="rId4" w:type="default"/>
      <w:pgSz w:w="11850" w:h="16783"/>
      <w:pgMar w:top="1440" w:right="1803" w:bottom="1440" w:left="1803"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A43A84"/>
    <w:rsid w:val="03B87EA0"/>
    <w:rsid w:val="03E3214F"/>
    <w:rsid w:val="044C50BA"/>
    <w:rsid w:val="05687CD1"/>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F2311A"/>
    <w:rsid w:val="0C5A32DA"/>
    <w:rsid w:val="0C7927C4"/>
    <w:rsid w:val="0C9B098C"/>
    <w:rsid w:val="0D673E11"/>
    <w:rsid w:val="0DDA54E4"/>
    <w:rsid w:val="0E3A5F83"/>
    <w:rsid w:val="0F44530B"/>
    <w:rsid w:val="0F836721"/>
    <w:rsid w:val="0FA25D96"/>
    <w:rsid w:val="107B59E5"/>
    <w:rsid w:val="10CC388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A84B5D"/>
    <w:rsid w:val="18B43F7C"/>
    <w:rsid w:val="191C433B"/>
    <w:rsid w:val="194A1770"/>
    <w:rsid w:val="195E346D"/>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C28E8"/>
    <w:rsid w:val="20642787"/>
    <w:rsid w:val="21556F04"/>
    <w:rsid w:val="22403BD3"/>
    <w:rsid w:val="22AD3177"/>
    <w:rsid w:val="235417B6"/>
    <w:rsid w:val="235977ED"/>
    <w:rsid w:val="24B92327"/>
    <w:rsid w:val="24C14514"/>
    <w:rsid w:val="24E37FCC"/>
    <w:rsid w:val="252D4D73"/>
    <w:rsid w:val="2533755C"/>
    <w:rsid w:val="25791755"/>
    <w:rsid w:val="26396DF4"/>
    <w:rsid w:val="27167136"/>
    <w:rsid w:val="271B442C"/>
    <w:rsid w:val="27B23302"/>
    <w:rsid w:val="289A5B44"/>
    <w:rsid w:val="28E03E9F"/>
    <w:rsid w:val="29310A5F"/>
    <w:rsid w:val="29C37A35"/>
    <w:rsid w:val="2A076083"/>
    <w:rsid w:val="2A73162E"/>
    <w:rsid w:val="2A76270D"/>
    <w:rsid w:val="2B167953"/>
    <w:rsid w:val="2B200583"/>
    <w:rsid w:val="2B2729C0"/>
    <w:rsid w:val="2B8209DE"/>
    <w:rsid w:val="2B821C91"/>
    <w:rsid w:val="2BF81A22"/>
    <w:rsid w:val="2C636760"/>
    <w:rsid w:val="2C6762A3"/>
    <w:rsid w:val="2FCA4B37"/>
    <w:rsid w:val="2FE029D7"/>
    <w:rsid w:val="2FF06E00"/>
    <w:rsid w:val="30586FEC"/>
    <w:rsid w:val="30BE67FD"/>
    <w:rsid w:val="30D130D8"/>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541A28"/>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5E0B9B"/>
    <w:rsid w:val="3DDF3AB1"/>
    <w:rsid w:val="3E1D0952"/>
    <w:rsid w:val="3E42660A"/>
    <w:rsid w:val="3E7555B1"/>
    <w:rsid w:val="3E787ED9"/>
    <w:rsid w:val="3F032E93"/>
    <w:rsid w:val="3F0527E5"/>
    <w:rsid w:val="3F4C52C6"/>
    <w:rsid w:val="3F694D83"/>
    <w:rsid w:val="3F885DCC"/>
    <w:rsid w:val="3FCD675E"/>
    <w:rsid w:val="4004000C"/>
    <w:rsid w:val="40526FD9"/>
    <w:rsid w:val="40760DD1"/>
    <w:rsid w:val="40BD5482"/>
    <w:rsid w:val="411B6CE5"/>
    <w:rsid w:val="412070D7"/>
    <w:rsid w:val="41314E40"/>
    <w:rsid w:val="41E0734B"/>
    <w:rsid w:val="426C1EA8"/>
    <w:rsid w:val="42736402"/>
    <w:rsid w:val="42BC5A2C"/>
    <w:rsid w:val="42E86A87"/>
    <w:rsid w:val="43307B09"/>
    <w:rsid w:val="439A3EB9"/>
    <w:rsid w:val="43BB152F"/>
    <w:rsid w:val="44C37687"/>
    <w:rsid w:val="45CB699A"/>
    <w:rsid w:val="46423C66"/>
    <w:rsid w:val="465B470D"/>
    <w:rsid w:val="469D6AD4"/>
    <w:rsid w:val="471E6C84"/>
    <w:rsid w:val="4748792B"/>
    <w:rsid w:val="475D719D"/>
    <w:rsid w:val="47674801"/>
    <w:rsid w:val="48225EF7"/>
    <w:rsid w:val="4879226F"/>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CB7569"/>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25B41"/>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97233E"/>
    <w:rsid w:val="65C031CA"/>
    <w:rsid w:val="65CE6852"/>
    <w:rsid w:val="66267C04"/>
    <w:rsid w:val="663F505A"/>
    <w:rsid w:val="666C2D2F"/>
    <w:rsid w:val="66AF5D7C"/>
    <w:rsid w:val="66EE5541"/>
    <w:rsid w:val="67924660"/>
    <w:rsid w:val="6821710D"/>
    <w:rsid w:val="68407834"/>
    <w:rsid w:val="6883293E"/>
    <w:rsid w:val="688412AD"/>
    <w:rsid w:val="68EB1B71"/>
    <w:rsid w:val="696C0310"/>
    <w:rsid w:val="69BE0DE5"/>
    <w:rsid w:val="6A6C7940"/>
    <w:rsid w:val="6A8919DC"/>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1D62D16"/>
    <w:rsid w:val="729F395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EA5868"/>
    <w:rsid w:val="7D2F777E"/>
    <w:rsid w:val="7D7406BB"/>
    <w:rsid w:val="7DE94331"/>
    <w:rsid w:val="7DFD2FB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3993</Words>
  <Characters>4479</Characters>
  <Lines>186</Lines>
  <Paragraphs>52</Paragraphs>
  <TotalTime>136</TotalTime>
  <ScaleCrop>false</ScaleCrop>
  <LinksUpToDate>false</LinksUpToDate>
  <CharactersWithSpaces>4534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2025-10-13T01:51:05Z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eyJoZGlkIjoiMTEyMWZmOWU2MmMxNjJlOTQxNjc2ZmExMDEyNzg4ZGIiLCJ1c2VySWQiOiIxMTQxNDU2NDE2In0=</vt:lpwstr>
  </property>
</Properties>
</file>