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ABFA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重庆市长寿区八颗街道社区卫生服务中心</w:t>
      </w:r>
    </w:p>
    <w:p w14:paraId="691ECD8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2AF2D24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29F7CBA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14:paraId="5CF99845">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14:paraId="68406A07">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1．承担公共卫生服务。主要包括疾病控制、妇幼保健、卫生监督协管、健康教育等公共卫生相关服务，独立完成公共卫生服务项目任务。</w:t>
      </w:r>
    </w:p>
    <w:p w14:paraId="6BADD70E">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2．承担基本医疗服务。主要包括一般常见病、多发病的门诊和住院诊治，医疗康复，推广中医药适宜技术，发挥中医药在常见病、多发病和慢性病防治中的作用。</w:t>
      </w:r>
    </w:p>
    <w:p w14:paraId="4DA06E16">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3．承担计划生育技术服务。主要包括避孕节育、生殖健康、优生服务和家庭保健等相关服务。</w:t>
      </w:r>
    </w:p>
    <w:p w14:paraId="05110993">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4．承担卫生应急任务。主要包括区域内“120”急救、突发事件紧急医疗救援、突发公共卫生事件防控等相关任务。</w:t>
      </w:r>
    </w:p>
    <w:p w14:paraId="40F55E8B">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5．承担卫生管理任务。主要包括协助区卫生健康委负责辖区内卫生管理工作，协助当地党委</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政府指导爱国卫生工作等相关任务。</w:t>
      </w:r>
    </w:p>
    <w:p w14:paraId="15AFDE2B">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14:paraId="581D524D">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我单位是重庆市长寿区卫生健康委下属正科级公益一类差额拨款事业单位。设置有</w:t>
      </w:r>
      <w:r>
        <w:rPr>
          <w:rFonts w:hint="default" w:ascii="Times New Roman" w:hAnsi="Times New Roman" w:eastAsia="方正仿宋_GBK" w:cs="Times New Roman"/>
          <w:color w:val="000000"/>
          <w:sz w:val="32"/>
          <w:szCs w:val="32"/>
        </w:rPr>
        <w:t>一分中心、二分中心、</w:t>
      </w:r>
      <w:r>
        <w:rPr>
          <w:rFonts w:hint="default" w:ascii="Times New Roman" w:hAnsi="Times New Roman" w:eastAsia="方正仿宋_GBK" w:cs="Times New Roman"/>
          <w:color w:val="000000"/>
          <w:sz w:val="32"/>
          <w:szCs w:val="32"/>
          <w:lang w:val="en-US" w:eastAsia="zh-CN"/>
        </w:rPr>
        <w:t>党</w:t>
      </w:r>
      <w:r>
        <w:rPr>
          <w:rFonts w:hint="default" w:ascii="Times New Roman" w:hAnsi="Times New Roman" w:eastAsia="方正仿宋_GBK" w:cs="Times New Roman"/>
          <w:sz w:val="32"/>
          <w:szCs w:val="32"/>
        </w:rPr>
        <w:t>政办公室、</w:t>
      </w:r>
      <w:r>
        <w:rPr>
          <w:rFonts w:hint="default" w:ascii="Times New Roman" w:hAnsi="Times New Roman" w:eastAsia="方正仿宋_GBK" w:cs="Times New Roman"/>
          <w:sz w:val="32"/>
          <w:szCs w:val="32"/>
          <w:lang w:val="en-US" w:eastAsia="zh-CN"/>
        </w:rPr>
        <w:t>全</w:t>
      </w:r>
      <w:r>
        <w:rPr>
          <w:rFonts w:hint="default" w:ascii="Times New Roman" w:hAnsi="Times New Roman" w:eastAsia="方正仿宋_GBK" w:cs="Times New Roman"/>
          <w:sz w:val="32"/>
          <w:szCs w:val="32"/>
        </w:rPr>
        <w:t>科、外科、</w:t>
      </w:r>
      <w:r>
        <w:rPr>
          <w:rFonts w:hint="default" w:ascii="Times New Roman" w:hAnsi="Times New Roman" w:eastAsia="方正仿宋_GBK" w:cs="Times New Roman"/>
          <w:sz w:val="32"/>
          <w:szCs w:val="32"/>
          <w:lang w:val="en-US" w:eastAsia="zh-CN"/>
        </w:rPr>
        <w:t>急诊科、中医康复</w:t>
      </w:r>
      <w:r>
        <w:rPr>
          <w:rFonts w:hint="default" w:ascii="Times New Roman" w:hAnsi="Times New Roman" w:eastAsia="方正仿宋_GBK" w:cs="Times New Roman"/>
          <w:sz w:val="32"/>
          <w:szCs w:val="32"/>
        </w:rPr>
        <w:t>科、</w:t>
      </w:r>
      <w:r>
        <w:rPr>
          <w:rFonts w:hint="default" w:ascii="Times New Roman" w:hAnsi="Times New Roman" w:eastAsia="方正仿宋_GBK" w:cs="Times New Roman"/>
          <w:sz w:val="32"/>
          <w:szCs w:val="32"/>
          <w:lang w:val="en-US" w:eastAsia="zh-CN"/>
        </w:rPr>
        <w:t>妇产科、</w:t>
      </w:r>
      <w:r>
        <w:rPr>
          <w:rFonts w:hint="default" w:ascii="Times New Roman" w:hAnsi="Times New Roman" w:eastAsia="方正仿宋_GBK" w:cs="Times New Roman"/>
          <w:sz w:val="32"/>
          <w:szCs w:val="32"/>
        </w:rPr>
        <w:t>医</w:t>
      </w:r>
      <w:r>
        <w:rPr>
          <w:rFonts w:hint="default" w:ascii="Times New Roman" w:hAnsi="Times New Roman" w:eastAsia="方正仿宋_GBK" w:cs="Times New Roman"/>
          <w:sz w:val="32"/>
          <w:szCs w:val="32"/>
          <w:lang w:val="en-US" w:eastAsia="zh-CN"/>
        </w:rPr>
        <w:t>技</w:t>
      </w:r>
      <w:r>
        <w:rPr>
          <w:rFonts w:hint="default" w:ascii="Times New Roman" w:hAnsi="Times New Roman" w:eastAsia="方正仿宋_GBK" w:cs="Times New Roman"/>
          <w:sz w:val="32"/>
          <w:szCs w:val="32"/>
        </w:rPr>
        <w:t>科、公共卫生科、</w:t>
      </w:r>
      <w:r>
        <w:rPr>
          <w:rFonts w:hint="default" w:ascii="Times New Roman" w:hAnsi="Times New Roman" w:eastAsia="方正仿宋_GBK" w:cs="Times New Roman"/>
          <w:sz w:val="32"/>
          <w:szCs w:val="32"/>
          <w:lang w:val="en-US" w:eastAsia="zh-CN"/>
        </w:rPr>
        <w:t>人事科、</w:t>
      </w:r>
      <w:r>
        <w:rPr>
          <w:rFonts w:hint="default" w:ascii="Times New Roman" w:hAnsi="Times New Roman" w:eastAsia="方正仿宋_GBK" w:cs="Times New Roman"/>
          <w:sz w:val="32"/>
          <w:szCs w:val="32"/>
        </w:rPr>
        <w:t>医保科、后勤科、财务科、</w:t>
      </w:r>
      <w:r>
        <w:rPr>
          <w:rFonts w:hint="default" w:ascii="Times New Roman" w:hAnsi="Times New Roman" w:eastAsia="方正仿宋_GBK" w:cs="Times New Roman"/>
          <w:sz w:val="32"/>
          <w:szCs w:val="32"/>
          <w:lang w:val="en-US" w:eastAsia="zh-CN"/>
        </w:rPr>
        <w:t>物资供应</w:t>
      </w:r>
      <w:r>
        <w:rPr>
          <w:rFonts w:hint="default" w:ascii="Times New Roman" w:hAnsi="Times New Roman" w:eastAsia="方正仿宋_GBK" w:cs="Times New Roman"/>
          <w:sz w:val="32"/>
          <w:szCs w:val="32"/>
        </w:rPr>
        <w:t>科、</w:t>
      </w:r>
      <w:r>
        <w:rPr>
          <w:rFonts w:hint="default" w:ascii="Times New Roman" w:hAnsi="Times New Roman" w:eastAsia="方正仿宋_GBK" w:cs="Times New Roman"/>
          <w:sz w:val="32"/>
          <w:szCs w:val="32"/>
          <w:lang w:val="en-US" w:eastAsia="zh-CN"/>
        </w:rPr>
        <w:t>网络</w:t>
      </w:r>
      <w:r>
        <w:rPr>
          <w:rFonts w:hint="default" w:ascii="Times New Roman" w:hAnsi="Times New Roman" w:eastAsia="方正仿宋_GBK" w:cs="Times New Roman"/>
          <w:sz w:val="32"/>
          <w:szCs w:val="32"/>
        </w:rPr>
        <w:t>信息科等科室。本单位无下级预算单位。</w:t>
      </w:r>
    </w:p>
    <w:p w14:paraId="3EB5539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eastAsia="zh-CN"/>
        </w:rPr>
      </w:pPr>
      <w:r>
        <w:rPr>
          <w:rStyle w:val="10"/>
          <w:rFonts w:hint="default" w:ascii="Times New Roman" w:hAnsi="Times New Roman" w:eastAsia="方正黑体_GBK" w:cs="Times New Roman"/>
          <w:b w:val="0"/>
          <w:bCs/>
          <w:sz w:val="32"/>
          <w:szCs w:val="32"/>
          <w:shd w:val="clear" w:color="auto" w:fill="FFFFFF"/>
          <w:lang w:eastAsia="zh-CN"/>
        </w:rPr>
        <w:t>二、单位决算收支情况说明</w:t>
      </w:r>
    </w:p>
    <w:p w14:paraId="6D925608">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（一）收入支出决算总体情况说明</w:t>
      </w:r>
    </w:p>
    <w:p w14:paraId="32BAC729">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highlight w:val="none"/>
          <w:shd w:val="clear" w:color="auto" w:fill="FFFFFF"/>
        </w:rPr>
      </w:pPr>
      <w:r>
        <w:rPr>
          <w:rStyle w:val="10"/>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度收入总计1515.61万元，支出总计</w:t>
      </w:r>
      <w:r>
        <w:rPr>
          <w:rFonts w:hint="default" w:ascii="Times New Roman" w:hAnsi="Times New Roman" w:eastAsia="方正仿宋_GBK" w:cs="Times New Roman"/>
          <w:b w:val="0"/>
          <w:bCs/>
          <w:sz w:val="32"/>
          <w:szCs w:val="32"/>
        </w:rPr>
        <w:t>1515.61</w:t>
      </w:r>
      <w:r>
        <w:rPr>
          <w:rFonts w:hint="default" w:ascii="Times New Roman" w:hAnsi="Times New Roman" w:eastAsia="方正仿宋_GBK" w:cs="Times New Roman"/>
          <w:b w:val="0"/>
          <w:bCs/>
          <w:sz w:val="32"/>
          <w:szCs w:val="32"/>
          <w:shd w:val="clear" w:color="auto" w:fill="FFFFFF"/>
        </w:rPr>
        <w:t>万元。收、支与2023年度相比，减少229.09万元，下</w:t>
      </w:r>
      <w:r>
        <w:rPr>
          <w:rFonts w:hint="default" w:ascii="Times New Roman" w:hAnsi="Times New Roman" w:eastAsia="方正仿宋_GBK" w:cs="Times New Roman"/>
          <w:b w:val="0"/>
          <w:bCs/>
          <w:sz w:val="32"/>
          <w:szCs w:val="32"/>
          <w:highlight w:val="none"/>
          <w:shd w:val="clear" w:color="auto" w:fill="FFFFFF"/>
        </w:rPr>
        <w:t>降13.1%，主要原因是</w:t>
      </w:r>
      <w:r>
        <w:rPr>
          <w:rFonts w:hint="default" w:ascii="Times New Roman" w:hAnsi="Times New Roman" w:eastAsia="方正仿宋_GBK" w:cs="Times New Roman"/>
          <w:b w:val="0"/>
          <w:bCs/>
          <w:sz w:val="32"/>
          <w:szCs w:val="32"/>
          <w:highlight w:val="none"/>
          <w:shd w:val="clear" w:color="auto" w:fill="FFFFFF"/>
          <w:lang w:val="en-US" w:eastAsia="zh-CN"/>
        </w:rPr>
        <w:t>我单位事业收入中药品的收、支减少</w:t>
      </w:r>
      <w:r>
        <w:rPr>
          <w:rFonts w:hint="default" w:ascii="Times New Roman" w:hAnsi="Times New Roman" w:eastAsia="方正仿宋_GBK" w:cs="Times New Roman"/>
          <w:b w:val="0"/>
          <w:bCs/>
          <w:sz w:val="32"/>
          <w:szCs w:val="32"/>
          <w:highlight w:val="none"/>
          <w:shd w:val="clear" w:color="auto" w:fill="FFFFFF"/>
        </w:rPr>
        <w:t>。</w:t>
      </w:r>
    </w:p>
    <w:p w14:paraId="4E7BF417">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度收入合计1515.61万元，与2023年度相比，减少142.18万元，下降8.6%，主要原因是</w:t>
      </w:r>
      <w:r>
        <w:rPr>
          <w:rFonts w:hint="default" w:ascii="Times New Roman" w:hAnsi="Times New Roman" w:eastAsia="方正仿宋_GBK" w:cs="Times New Roman"/>
          <w:b w:val="0"/>
          <w:bCs/>
          <w:sz w:val="32"/>
          <w:szCs w:val="32"/>
          <w:highlight w:val="none"/>
          <w:shd w:val="clear" w:color="auto" w:fill="FFFFFF"/>
          <w:lang w:val="en-US" w:eastAsia="zh-CN"/>
        </w:rPr>
        <w:t>我单位事业收入中药品的收入减少。</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1189.67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78.5%</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301.32</w:t>
      </w:r>
      <w:r>
        <w:rPr>
          <w:rFonts w:hint="default" w:ascii="Times New Roman" w:hAnsi="Times New Roman" w:eastAsia="方正仿宋_GBK" w:cs="Times New Roman"/>
          <w:b w:val="0"/>
          <w:bCs/>
          <w:sz w:val="32"/>
          <w:szCs w:val="32"/>
          <w:shd w:val="clear" w:color="auto" w:fill="FFFFFF"/>
        </w:rPr>
        <w:t>万元，占19.9%；经营收入</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万元，占0.0%；其他收入</w:t>
      </w:r>
      <w:r>
        <w:rPr>
          <w:rFonts w:hint="default" w:ascii="Times New Roman" w:hAnsi="Times New Roman" w:eastAsia="方正仿宋_GBK" w:cs="Times New Roman"/>
          <w:b w:val="0"/>
          <w:bCs/>
          <w:sz w:val="32"/>
          <w:szCs w:val="32"/>
        </w:rPr>
        <w:t>24.61</w:t>
      </w:r>
      <w:r>
        <w:rPr>
          <w:rFonts w:hint="default" w:ascii="Times New Roman" w:hAnsi="Times New Roman" w:eastAsia="方正仿宋_GBK" w:cs="Times New Roman"/>
          <w:b w:val="0"/>
          <w:bCs/>
          <w:sz w:val="32"/>
          <w:szCs w:val="32"/>
          <w:shd w:val="clear" w:color="auto" w:fill="FFFFFF"/>
        </w:rPr>
        <w:t>万元，占1.6%</w:t>
      </w:r>
      <w:r>
        <w:rPr>
          <w:rFonts w:hint="default" w:ascii="Times New Roman" w:hAnsi="Times New Roman" w:eastAsia="方正仿宋_GBK" w:cs="Times New Roman"/>
          <w:b w:val="0"/>
          <w:bCs/>
          <w:sz w:val="32"/>
          <w:szCs w:val="32"/>
          <w:highlight w:val="none"/>
          <w:shd w:val="clear" w:color="auto" w:fill="FFFFFF"/>
        </w:rPr>
        <w:t>。此外，使用非财政拨款结余（含专用结余）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32D05162">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1515.61</w:t>
      </w:r>
      <w:r>
        <w:rPr>
          <w:rFonts w:hint="default" w:ascii="Times New Roman" w:hAnsi="Times New Roman" w:eastAsia="方正仿宋_GBK" w:cs="Times New Roman"/>
          <w:b w:val="0"/>
          <w:bCs/>
          <w:sz w:val="32"/>
          <w:szCs w:val="32"/>
          <w:shd w:val="clear" w:color="auto" w:fill="FFFFFF"/>
        </w:rPr>
        <w:t>万元，与2023年度相比，减少229.09万元，下降13.1%，主要原因是</w:t>
      </w:r>
      <w:r>
        <w:rPr>
          <w:rFonts w:hint="default" w:ascii="Times New Roman" w:hAnsi="Times New Roman" w:eastAsia="方正仿宋_GBK" w:cs="Times New Roman"/>
          <w:b w:val="0"/>
          <w:bCs/>
          <w:sz w:val="32"/>
          <w:szCs w:val="32"/>
          <w:shd w:val="clear" w:color="auto" w:fill="FFFFFF"/>
          <w:lang w:val="en-US" w:eastAsia="zh-CN"/>
        </w:rPr>
        <w:t>2024年未清算2023年职工超额绩效和减少了药品的支付费用</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1268.23</w:t>
      </w:r>
      <w:r>
        <w:rPr>
          <w:rFonts w:hint="default" w:ascii="Times New Roman" w:hAnsi="Times New Roman" w:eastAsia="方正仿宋_GBK" w:cs="Times New Roman"/>
          <w:b w:val="0"/>
          <w:bCs/>
          <w:sz w:val="32"/>
          <w:szCs w:val="32"/>
          <w:shd w:val="clear" w:color="auto" w:fill="FFFFFF"/>
        </w:rPr>
        <w:t>万元，占83.7%；项目支出</w:t>
      </w:r>
      <w:r>
        <w:rPr>
          <w:rFonts w:hint="default" w:ascii="Times New Roman" w:hAnsi="Times New Roman" w:eastAsia="方正仿宋_GBK" w:cs="Times New Roman"/>
          <w:b w:val="0"/>
          <w:bCs/>
          <w:sz w:val="32"/>
          <w:szCs w:val="32"/>
        </w:rPr>
        <w:t>247.38</w:t>
      </w:r>
      <w:r>
        <w:rPr>
          <w:rFonts w:hint="default" w:ascii="Times New Roman" w:hAnsi="Times New Roman" w:eastAsia="方正仿宋_GBK" w:cs="Times New Roman"/>
          <w:b w:val="0"/>
          <w:bCs/>
          <w:sz w:val="32"/>
          <w:szCs w:val="32"/>
          <w:shd w:val="clear" w:color="auto" w:fill="FFFFFF"/>
        </w:rPr>
        <w:t>万元，占16.3%；经营支出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万元，占0.0%。此外，结余分配</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299FDA76">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万元，与2023年度相比，无增减，主要原</w:t>
      </w:r>
      <w:r>
        <w:rPr>
          <w:rFonts w:hint="default" w:ascii="Times New Roman" w:hAnsi="Times New Roman" w:eastAsia="方正仿宋_GBK" w:cs="Times New Roman"/>
          <w:b w:val="0"/>
          <w:bCs/>
          <w:color w:val="auto"/>
          <w:sz w:val="32"/>
          <w:szCs w:val="32"/>
          <w:shd w:val="clear" w:color="auto" w:fill="FFFFFF"/>
        </w:rPr>
        <w:t>因是</w:t>
      </w:r>
      <w:r>
        <w:rPr>
          <w:rFonts w:hint="default" w:ascii="Times New Roman" w:hAnsi="Times New Roman" w:eastAsia="方正仿宋_GBK" w:cs="Times New Roman"/>
          <w:b w:val="0"/>
          <w:bCs/>
          <w:color w:val="auto"/>
          <w:sz w:val="32"/>
          <w:szCs w:val="32"/>
          <w:shd w:val="clear" w:color="auto" w:fill="FFFFFF"/>
          <w:lang w:val="en-US" w:eastAsia="zh-CN"/>
        </w:rPr>
        <w:t>2024年和2023年的项目均全部在当年完成并支付资金</w:t>
      </w:r>
      <w:r>
        <w:rPr>
          <w:rFonts w:hint="default" w:ascii="Times New Roman" w:hAnsi="Times New Roman" w:eastAsia="方正仿宋_GBK" w:cs="Times New Roman"/>
          <w:b w:val="0"/>
          <w:bCs/>
          <w:color w:val="auto"/>
          <w:sz w:val="32"/>
          <w:szCs w:val="32"/>
          <w:shd w:val="clear" w:color="auto" w:fill="FFFFFF"/>
        </w:rPr>
        <w:t>。</w:t>
      </w:r>
    </w:p>
    <w:p w14:paraId="525B9483">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（二）财政拨款收入支出决算总体情况说明</w:t>
      </w:r>
    </w:p>
    <w:p w14:paraId="29B2EA74">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度财政拨款收、支总计1189.67万元。与202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年相比，财政拨款收、支总计各增加227.29万元，增长23.6%。主要原因是</w:t>
      </w:r>
      <w:r>
        <w:rPr>
          <w:rFonts w:hint="eastAsia"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w:t>
      </w:r>
    </w:p>
    <w:p w14:paraId="14390EBA">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（三）一般公共预算财政拨款收入支出决算情况说明</w:t>
      </w:r>
    </w:p>
    <w:p w14:paraId="6ACCF713">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lang w:val="en-US" w:eastAsia="zh-CN"/>
        </w:rPr>
        <w:t>1.收入情况</w:t>
      </w:r>
      <w:r>
        <w:rPr>
          <w:rStyle w:val="10"/>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1189.67</w:t>
      </w:r>
      <w:r>
        <w:rPr>
          <w:rFonts w:hint="default" w:ascii="Times New Roman" w:hAnsi="Times New Roman" w:eastAsia="方正仿宋_GBK" w:cs="Times New Roman"/>
          <w:b w:val="0"/>
          <w:bCs w:val="0"/>
          <w:sz w:val="32"/>
          <w:szCs w:val="32"/>
          <w:shd w:val="clear" w:color="auto" w:fill="FFFFFF"/>
        </w:rPr>
        <w:t>万元，与2023年度相比，增加291.59万元，增长32.5%。主要原因是</w:t>
      </w:r>
      <w:r>
        <w:rPr>
          <w:rFonts w:hint="default" w:ascii="Times New Roman" w:hAnsi="Times New Roman" w:eastAsia="方正仿宋_GBK" w:cs="Times New Roman"/>
          <w:b w:val="0"/>
          <w:bCs w:val="0"/>
          <w:color w:val="000000"/>
          <w:sz w:val="32"/>
          <w:szCs w:val="32"/>
        </w:rPr>
        <w:t>财政拨款用于</w:t>
      </w:r>
      <w:r>
        <w:rPr>
          <w:rFonts w:hint="default" w:ascii="Times New Roman" w:hAnsi="Times New Roman" w:eastAsia="方正仿宋_GBK" w:cs="Times New Roman"/>
          <w:b w:val="0"/>
          <w:bCs w:val="0"/>
          <w:color w:val="000000"/>
          <w:sz w:val="32"/>
          <w:szCs w:val="32"/>
          <w:lang w:val="en-US" w:eastAsia="zh-CN"/>
        </w:rPr>
        <w:t>人员经费、</w:t>
      </w:r>
      <w:r>
        <w:rPr>
          <w:rFonts w:hint="default" w:ascii="Times New Roman" w:hAnsi="Times New Roman" w:eastAsia="方正仿宋_GBK" w:cs="Times New Roman"/>
          <w:b w:val="0"/>
          <w:bCs w:val="0"/>
          <w:color w:val="000000"/>
          <w:sz w:val="32"/>
          <w:szCs w:val="32"/>
        </w:rPr>
        <w:t>社会保障及就业的支出</w:t>
      </w:r>
      <w:r>
        <w:rPr>
          <w:rFonts w:hint="default" w:ascii="Times New Roman" w:hAnsi="Times New Roman" w:eastAsia="方正仿宋_GBK" w:cs="Times New Roman"/>
          <w:b w:val="0"/>
          <w:bCs w:val="0"/>
          <w:color w:val="000000"/>
          <w:sz w:val="32"/>
          <w:szCs w:val="32"/>
          <w:lang w:val="en-US" w:eastAsia="zh-CN"/>
        </w:rPr>
        <w:t>增加</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较年初预算数增加221.45万元，增长22.9%。主要原因</w:t>
      </w:r>
      <w:r>
        <w:rPr>
          <w:rFonts w:hint="default" w:ascii="Times New Roman" w:hAnsi="Times New Roman" w:eastAsia="方正仿宋_GBK" w:cs="Times New Roman"/>
          <w:b w:val="0"/>
          <w:bCs w:val="0"/>
          <w:color w:val="auto"/>
          <w:sz w:val="32"/>
          <w:szCs w:val="32"/>
          <w:shd w:val="clear" w:color="auto" w:fill="FFFFFF"/>
        </w:rPr>
        <w:t>是</w:t>
      </w:r>
      <w:r>
        <w:rPr>
          <w:rFonts w:hint="default" w:ascii="Times New Roman" w:hAnsi="Times New Roman" w:eastAsia="方正仿宋_GBK" w:cs="Times New Roman"/>
          <w:b w:val="0"/>
          <w:bCs w:val="0"/>
          <w:color w:val="auto"/>
          <w:sz w:val="32"/>
          <w:szCs w:val="32"/>
          <w:shd w:val="clear" w:color="auto" w:fill="FFFFFF"/>
          <w:lang w:val="en-US" w:eastAsia="zh-CN"/>
        </w:rPr>
        <w:t>2024年度调整养老保险、职业年金缴费基数</w:t>
      </w:r>
      <w:r>
        <w:rPr>
          <w:rFonts w:hint="default" w:ascii="Times New Roman" w:hAnsi="Times New Roman" w:eastAsia="方正仿宋_GBK" w:cs="Times New Roman"/>
          <w:b w:val="0"/>
          <w:bCs w:val="0"/>
          <w:color w:val="auto"/>
          <w:sz w:val="32"/>
          <w:szCs w:val="32"/>
          <w:shd w:val="clear" w:color="auto" w:fill="FFFFFF"/>
        </w:rPr>
        <w:t>。此外，年初财</w:t>
      </w:r>
      <w:r>
        <w:rPr>
          <w:rFonts w:hint="default" w:ascii="Times New Roman" w:hAnsi="Times New Roman" w:eastAsia="方正仿宋_GBK" w:cs="Times New Roman"/>
          <w:b w:val="0"/>
          <w:bCs w:val="0"/>
          <w:sz w:val="32"/>
          <w:szCs w:val="32"/>
          <w:shd w:val="clear" w:color="auto" w:fill="FFFFFF"/>
        </w:rPr>
        <w:t>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36AE8733">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1189.67</w:t>
      </w:r>
      <w:r>
        <w:rPr>
          <w:rFonts w:hint="default" w:ascii="Times New Roman" w:hAnsi="Times New Roman" w:eastAsia="方正仿宋_GBK" w:cs="Times New Roman"/>
          <w:b w:val="0"/>
          <w:bCs w:val="0"/>
          <w:sz w:val="32"/>
          <w:szCs w:val="32"/>
          <w:shd w:val="clear" w:color="auto" w:fill="FFFFFF"/>
        </w:rPr>
        <w:t>万元，与2023年度相比，增加286.32万元，增长31.7%。主要原因是</w:t>
      </w:r>
      <w:r>
        <w:rPr>
          <w:rFonts w:hint="default" w:ascii="Times New Roman" w:hAnsi="Times New Roman" w:eastAsia="方正仿宋_GBK" w:cs="Times New Roman"/>
          <w:b w:val="0"/>
          <w:bCs w:val="0"/>
          <w:color w:val="auto"/>
          <w:sz w:val="32"/>
          <w:szCs w:val="32"/>
          <w:shd w:val="clear" w:color="auto" w:fill="FFFFFF"/>
          <w:lang w:val="en-US" w:eastAsia="zh-CN"/>
        </w:rPr>
        <w:t>基本支出中的人员经费支出增加</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较年初预算数增加221.45万元，增长22.9%。主要原因</w:t>
      </w:r>
      <w:r>
        <w:rPr>
          <w:rFonts w:hint="default" w:ascii="Times New Roman" w:hAnsi="Times New Roman" w:eastAsia="方正仿宋_GBK" w:cs="Times New Roman"/>
          <w:b w:val="0"/>
          <w:bCs w:val="0"/>
          <w:color w:val="auto"/>
          <w:sz w:val="32"/>
          <w:szCs w:val="32"/>
          <w:shd w:val="clear" w:color="auto" w:fill="FFFFFF"/>
        </w:rPr>
        <w:t>是</w:t>
      </w:r>
      <w:r>
        <w:rPr>
          <w:rFonts w:hint="default" w:ascii="Times New Roman" w:hAnsi="Times New Roman" w:eastAsia="方正仿宋_GBK" w:cs="Times New Roman"/>
          <w:b w:val="0"/>
          <w:bCs w:val="0"/>
          <w:color w:val="auto"/>
          <w:sz w:val="32"/>
          <w:szCs w:val="32"/>
          <w:shd w:val="clear" w:color="auto" w:fill="FFFFFF"/>
          <w:lang w:val="en-US" w:eastAsia="zh-CN"/>
        </w:rPr>
        <w:t>2024年度调整养老保险、职业年金缴费基数</w:t>
      </w:r>
      <w:r>
        <w:rPr>
          <w:rFonts w:hint="default" w:ascii="Times New Roman" w:hAnsi="Times New Roman" w:eastAsia="方正仿宋_GBK" w:cs="Times New Roman"/>
          <w:b w:val="0"/>
          <w:bCs w:val="0"/>
          <w:color w:val="auto"/>
          <w:sz w:val="32"/>
          <w:szCs w:val="32"/>
          <w:shd w:val="clear" w:color="auto" w:fill="FFFFFF"/>
        </w:rPr>
        <w:t>。</w:t>
      </w:r>
    </w:p>
    <w:p w14:paraId="3A4D0707">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10"/>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2024年和2023年的项目均全部在当年完成并支付资金</w:t>
      </w:r>
      <w:r>
        <w:rPr>
          <w:rFonts w:hint="default" w:ascii="Times New Roman" w:hAnsi="Times New Roman" w:eastAsia="方正仿宋_GBK" w:cs="Times New Roman"/>
          <w:b w:val="0"/>
          <w:bCs w:val="0"/>
          <w:color w:val="auto"/>
          <w:sz w:val="32"/>
          <w:szCs w:val="32"/>
          <w:shd w:val="clear" w:color="auto" w:fill="FFFFFF"/>
          <w:lang w:eastAsia="zh-CN"/>
        </w:rPr>
        <w:t>。</w:t>
      </w:r>
    </w:p>
    <w:p w14:paraId="5790A68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10"/>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4FCD81D6">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w:t>
      </w:r>
      <w:r>
        <w:rPr>
          <w:rFonts w:hint="default" w:ascii="Times New Roman" w:hAnsi="Times New Roman" w:eastAsia="方正仿宋_GBK" w:cs="Times New Roman"/>
          <w:b w:val="0"/>
          <w:bCs w:val="0"/>
          <w:sz w:val="32"/>
          <w:szCs w:val="32"/>
          <w:highlight w:val="none"/>
          <w:shd w:val="clear" w:color="auto" w:fill="FFFFFF"/>
        </w:rPr>
        <w:t>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highlight w:val="none"/>
          <w:shd w:val="clear" w:color="auto" w:fill="FFFFFF"/>
        </w:rPr>
        <w:t>就业支</w:t>
      </w:r>
      <w:r>
        <w:rPr>
          <w:rFonts w:hint="default" w:ascii="Times New Roman" w:hAnsi="Times New Roman" w:eastAsia="方正仿宋_GBK" w:cs="Times New Roman"/>
          <w:b w:val="0"/>
          <w:bCs w:val="0"/>
          <w:sz w:val="32"/>
          <w:szCs w:val="32"/>
          <w:shd w:val="clear" w:color="auto" w:fill="FFFFFF"/>
        </w:rPr>
        <w:t>出</w:t>
      </w:r>
      <w:r>
        <w:rPr>
          <w:rFonts w:hint="default" w:ascii="Times New Roman" w:hAnsi="Times New Roman" w:eastAsia="方正仿宋_GBK" w:cs="Times New Roman"/>
          <w:b w:val="0"/>
          <w:bCs w:val="0"/>
          <w:sz w:val="32"/>
          <w:szCs w:val="32"/>
        </w:rPr>
        <w:t>201.99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17.0%</w:t>
      </w:r>
      <w:r>
        <w:rPr>
          <w:rFonts w:hint="default" w:ascii="Times New Roman" w:hAnsi="Times New Roman" w:eastAsia="方正仿宋_GBK" w:cs="Times New Roman"/>
          <w:b w:val="0"/>
          <w:bCs w:val="0"/>
          <w:sz w:val="32"/>
          <w:szCs w:val="32"/>
          <w:shd w:val="clear" w:color="auto" w:fill="FFFFFF"/>
        </w:rPr>
        <w:t>，较年初预算数增加32.20万元，增长19.0%，主要原因是</w:t>
      </w:r>
      <w:r>
        <w:rPr>
          <w:rFonts w:hint="default" w:ascii="Times New Roman" w:hAnsi="Times New Roman" w:eastAsia="方正仿宋_GBK" w:cs="Times New Roman"/>
          <w:b w:val="0"/>
          <w:bCs w:val="0"/>
          <w:color w:val="auto"/>
          <w:sz w:val="32"/>
          <w:szCs w:val="32"/>
          <w:shd w:val="clear" w:color="auto" w:fill="FFFFFF"/>
          <w:lang w:val="en-US" w:eastAsia="zh-CN"/>
        </w:rPr>
        <w:t>本年度人员经费支出的增加</w:t>
      </w:r>
      <w:r>
        <w:rPr>
          <w:rFonts w:hint="default" w:ascii="Times New Roman" w:hAnsi="Times New Roman" w:eastAsia="方正仿宋_GBK" w:cs="Times New Roman"/>
          <w:b w:val="0"/>
          <w:bCs w:val="0"/>
          <w:color w:val="auto"/>
          <w:sz w:val="32"/>
          <w:szCs w:val="32"/>
          <w:shd w:val="clear" w:color="auto" w:fill="FFFFFF"/>
        </w:rPr>
        <w:t>。</w:t>
      </w:r>
    </w:p>
    <w:p w14:paraId="2BCA3D67">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955.16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80.3%</w:t>
      </w:r>
      <w:r>
        <w:rPr>
          <w:rFonts w:hint="default" w:ascii="Times New Roman" w:hAnsi="Times New Roman" w:eastAsia="方正仿宋_GBK" w:cs="Times New Roman"/>
          <w:b w:val="0"/>
          <w:bCs w:val="0"/>
          <w:sz w:val="32"/>
          <w:szCs w:val="32"/>
          <w:shd w:val="clear" w:color="auto" w:fill="FFFFFF"/>
        </w:rPr>
        <w:t>，较年初预算数增加189.79万元，增长24.8%，主要原因是</w:t>
      </w:r>
      <w:r>
        <w:rPr>
          <w:rFonts w:hint="default" w:ascii="Times New Roman" w:hAnsi="Times New Roman" w:eastAsia="方正仿宋_GBK" w:cs="Times New Roman"/>
          <w:b w:val="0"/>
          <w:bCs w:val="0"/>
          <w:color w:val="000000"/>
          <w:sz w:val="32"/>
          <w:szCs w:val="32"/>
          <w:lang w:val="en-US" w:eastAsia="zh-CN"/>
        </w:rPr>
        <w:t>人员经费、</w:t>
      </w:r>
      <w:r>
        <w:rPr>
          <w:rFonts w:hint="default" w:ascii="Times New Roman" w:hAnsi="Times New Roman" w:eastAsia="方正仿宋_GBK" w:cs="Times New Roman"/>
          <w:b w:val="0"/>
          <w:bCs w:val="0"/>
          <w:color w:val="000000"/>
          <w:sz w:val="32"/>
          <w:szCs w:val="32"/>
        </w:rPr>
        <w:t>社会保障及就业的支出</w:t>
      </w:r>
      <w:r>
        <w:rPr>
          <w:rFonts w:hint="default" w:ascii="Times New Roman" w:hAnsi="Times New Roman" w:eastAsia="方正仿宋_GBK" w:cs="Times New Roman"/>
          <w:b w:val="0"/>
          <w:bCs w:val="0"/>
          <w:color w:val="000000"/>
          <w:sz w:val="32"/>
          <w:szCs w:val="32"/>
          <w:lang w:val="en-US" w:eastAsia="zh-CN"/>
        </w:rPr>
        <w:t>增加</w:t>
      </w:r>
      <w:r>
        <w:rPr>
          <w:rFonts w:hint="default" w:ascii="Times New Roman" w:hAnsi="Times New Roman" w:eastAsia="方正仿宋_GBK" w:cs="Times New Roman"/>
          <w:b w:val="0"/>
          <w:bCs w:val="0"/>
          <w:color w:val="auto"/>
          <w:sz w:val="32"/>
          <w:szCs w:val="32"/>
          <w:shd w:val="clear" w:color="auto" w:fill="FFFFFF"/>
        </w:rPr>
        <w:t>。</w:t>
      </w:r>
    </w:p>
    <w:p w14:paraId="44889A4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住房保障支出32.53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2.7%</w:t>
      </w:r>
      <w:r>
        <w:rPr>
          <w:rFonts w:hint="default" w:ascii="Times New Roman" w:hAnsi="Times New Roman" w:eastAsia="方正仿宋_GBK" w:cs="Times New Roman"/>
          <w:b w:val="0"/>
          <w:bCs w:val="0"/>
          <w:sz w:val="32"/>
          <w:szCs w:val="32"/>
          <w:shd w:val="clear" w:color="auto" w:fill="FFFFFF"/>
        </w:rPr>
        <w:t>，较年初预算数减少0.52万元，下降1.6%，主</w:t>
      </w:r>
      <w:r>
        <w:rPr>
          <w:rFonts w:hint="default" w:ascii="Times New Roman" w:hAnsi="Times New Roman" w:eastAsia="方正仿宋_GBK" w:cs="Times New Roman"/>
          <w:b w:val="0"/>
          <w:bCs w:val="0"/>
          <w:color w:val="auto"/>
          <w:sz w:val="32"/>
          <w:szCs w:val="32"/>
          <w:shd w:val="clear" w:color="auto" w:fill="FFFFFF"/>
        </w:rPr>
        <w:t>要原因是</w:t>
      </w:r>
      <w:r>
        <w:rPr>
          <w:rFonts w:hint="default" w:ascii="Times New Roman" w:hAnsi="Times New Roman" w:eastAsia="方正仿宋_GBK" w:cs="Times New Roman"/>
          <w:b w:val="0"/>
          <w:bCs w:val="0"/>
          <w:color w:val="auto"/>
          <w:sz w:val="32"/>
          <w:szCs w:val="32"/>
          <w:shd w:val="clear" w:color="auto" w:fill="FFFFFF"/>
          <w:lang w:val="en-US" w:eastAsia="zh-CN"/>
        </w:rPr>
        <w:t>本年度有人员退休和离职</w:t>
      </w:r>
      <w:r>
        <w:rPr>
          <w:rFonts w:hint="default" w:ascii="Times New Roman" w:hAnsi="Times New Roman" w:eastAsia="方正仿宋_GBK" w:cs="Times New Roman"/>
          <w:b w:val="0"/>
          <w:bCs w:val="0"/>
          <w:color w:val="auto"/>
          <w:sz w:val="32"/>
          <w:szCs w:val="32"/>
          <w:shd w:val="clear" w:color="auto" w:fill="FFFFFF"/>
        </w:rPr>
        <w:t>。</w:t>
      </w:r>
    </w:p>
    <w:p w14:paraId="0F4047BC">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（四）一般公共预算财政拨款基本支出决算情况说明</w:t>
      </w:r>
    </w:p>
    <w:p w14:paraId="5B3D2C4E">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rPr>
        <w:t>942.29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941.19</w:t>
      </w:r>
      <w:r>
        <w:rPr>
          <w:rFonts w:hint="default" w:ascii="Times New Roman" w:hAnsi="Times New Roman" w:eastAsia="方正仿宋_GBK" w:cs="Times New Roman"/>
          <w:sz w:val="32"/>
          <w:szCs w:val="32"/>
          <w:shd w:val="clear" w:color="auto" w:fill="FFFFFF"/>
        </w:rPr>
        <w:t>万元，与2023年度相比，增加205.99万元，增长28.0%，</w:t>
      </w:r>
      <w:r>
        <w:rPr>
          <w:rFonts w:hint="eastAsia"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color w:val="000000"/>
          <w:sz w:val="32"/>
          <w:szCs w:val="32"/>
        </w:rPr>
        <w:t>财政拨款用于</w:t>
      </w:r>
      <w:r>
        <w:rPr>
          <w:rFonts w:hint="default" w:ascii="Times New Roman" w:hAnsi="Times New Roman" w:eastAsia="方正仿宋_GBK" w:cs="Times New Roman"/>
          <w:color w:val="000000"/>
          <w:sz w:val="32"/>
          <w:szCs w:val="32"/>
          <w:lang w:val="en-US" w:eastAsia="zh-CN"/>
        </w:rPr>
        <w:t>人员经费、</w:t>
      </w:r>
      <w:r>
        <w:rPr>
          <w:rFonts w:hint="default" w:ascii="Times New Roman" w:hAnsi="Times New Roman" w:eastAsia="方正仿宋_GBK" w:cs="Times New Roman"/>
          <w:color w:val="000000"/>
          <w:sz w:val="32"/>
          <w:szCs w:val="32"/>
        </w:rPr>
        <w:t>社会保障及就业的支出</w:t>
      </w:r>
      <w:r>
        <w:rPr>
          <w:rFonts w:hint="default" w:ascii="Times New Roman" w:hAnsi="Times New Roman" w:eastAsia="方正仿宋_GBK" w:cs="Times New Roman"/>
          <w:color w:val="000000"/>
          <w:sz w:val="32"/>
          <w:szCs w:val="32"/>
          <w:lang w:val="en-US" w:eastAsia="zh-CN"/>
        </w:rPr>
        <w:t>增加</w:t>
      </w:r>
      <w:r>
        <w:rPr>
          <w:rFonts w:hint="default" w:ascii="Times New Roman" w:hAnsi="Times New Roman" w:eastAsia="方正仿宋_GBK" w:cs="Times New Roman"/>
          <w:color w:val="000000" w:themeColor="text1"/>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000000"/>
          <w:sz w:val="32"/>
          <w:szCs w:val="32"/>
        </w:rPr>
        <w:t>职工的工资福利支出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对个人和家庭的补助</w:t>
      </w:r>
      <w:r>
        <w:rPr>
          <w:rFonts w:hint="default" w:ascii="Times New Roman" w:hAnsi="Times New Roman" w:eastAsia="方正仿宋_GBK" w:cs="Times New Roman"/>
          <w:color w:val="000000"/>
          <w:sz w:val="32"/>
          <w:szCs w:val="32"/>
          <w:lang w:val="en-US" w:eastAsia="zh-CN"/>
        </w:rPr>
        <w:t>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退休人员无变化</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保障退休人员开展集体活动</w:t>
      </w:r>
      <w:r>
        <w:rPr>
          <w:rFonts w:hint="eastAsia" w:ascii="Times New Roman" w:hAnsi="Times New Roman" w:eastAsia="方正仿宋_GBK" w:cs="Times New Roman"/>
          <w:color w:val="auto"/>
          <w:sz w:val="32"/>
          <w:szCs w:val="32"/>
          <w:shd w:val="clear" w:color="auto" w:fill="FFFFFF"/>
          <w:lang w:val="en-US" w:eastAsia="zh-CN"/>
        </w:rPr>
        <w:t>的费用。</w:t>
      </w:r>
    </w:p>
    <w:p w14:paraId="45ECAC2E">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（五）政府性基金预算收支决算情况说明</w:t>
      </w:r>
    </w:p>
    <w:p w14:paraId="3AB50FFE">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2024年和2023年均无政府性基金预算财政拨款</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万元，与2023年度相比，减少59.04万元，下降100.0%，主要原因是</w:t>
      </w:r>
      <w:r>
        <w:rPr>
          <w:rFonts w:hint="default" w:ascii="Times New Roman" w:hAnsi="Times New Roman" w:eastAsia="方正仿宋_GBK" w:cs="Times New Roman"/>
          <w:color w:val="auto"/>
          <w:sz w:val="32"/>
          <w:szCs w:val="32"/>
          <w:shd w:val="clear" w:color="auto" w:fill="FFFFFF"/>
          <w:lang w:val="en-US" w:eastAsia="zh-CN"/>
        </w:rPr>
        <w:t>2024年无</w:t>
      </w:r>
      <w:r>
        <w:rPr>
          <w:rFonts w:hint="default" w:ascii="Times New Roman" w:hAnsi="Times New Roman" w:eastAsia="方正仿宋_GBK" w:cs="Times New Roman"/>
          <w:color w:val="000000"/>
          <w:sz w:val="32"/>
          <w:szCs w:val="32"/>
        </w:rPr>
        <w:t>政府性基金预算财政拨款</w:t>
      </w:r>
      <w:r>
        <w:rPr>
          <w:rFonts w:hint="default" w:ascii="Times New Roman" w:hAnsi="Times New Roman" w:eastAsia="方正仿宋_GBK" w:cs="Times New Roman"/>
          <w:color w:val="000000"/>
          <w:sz w:val="32"/>
          <w:szCs w:val="32"/>
          <w:lang w:val="en-US" w:eastAsia="zh-CN"/>
        </w:rPr>
        <w:t>的收支，2023年完成2022年</w:t>
      </w:r>
      <w:r>
        <w:rPr>
          <w:rFonts w:hint="default" w:ascii="Times New Roman" w:hAnsi="Times New Roman" w:eastAsia="方正仿宋_GBK" w:cs="Times New Roman"/>
          <w:color w:val="000000"/>
          <w:sz w:val="32"/>
          <w:szCs w:val="32"/>
        </w:rPr>
        <w:t>政府性基金预算财政拨款</w:t>
      </w:r>
      <w:r>
        <w:rPr>
          <w:rFonts w:hint="default" w:ascii="Times New Roman" w:hAnsi="Times New Roman" w:eastAsia="方正仿宋_GBK" w:cs="Times New Roman"/>
          <w:color w:val="000000"/>
          <w:sz w:val="32"/>
          <w:szCs w:val="32"/>
          <w:lang w:val="en-US" w:eastAsia="zh-CN"/>
        </w:rPr>
        <w:t>项目并完成资金支</w:t>
      </w:r>
      <w:r>
        <w:rPr>
          <w:rFonts w:hint="default" w:ascii="Times New Roman" w:hAnsi="Times New Roman" w:eastAsia="方正仿宋_GBK" w:cs="Times New Roman"/>
          <w:color w:val="auto"/>
          <w:sz w:val="32"/>
          <w:szCs w:val="32"/>
          <w:lang w:val="en-US" w:eastAsia="zh-CN"/>
        </w:rPr>
        <w:t>付</w:t>
      </w:r>
      <w:r>
        <w:rPr>
          <w:rFonts w:hint="default" w:ascii="Times New Roman" w:hAnsi="Times New Roman" w:eastAsia="方正仿宋_GBK" w:cs="Times New Roman"/>
          <w:color w:val="auto"/>
          <w:sz w:val="32"/>
          <w:szCs w:val="32"/>
          <w:shd w:val="clear" w:color="auto" w:fill="FFFFFF"/>
        </w:rPr>
        <w:t>。</w:t>
      </w:r>
    </w:p>
    <w:p w14:paraId="7F701A43">
      <w:pPr>
        <w:pStyle w:val="11"/>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7CA96E9E">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14:paraId="60C3AF7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default" w:ascii="Times New Roman" w:hAnsi="Times New Roman" w:eastAsia="方正黑体_GBK" w:cs="Times New Roman"/>
          <w:b w:val="0"/>
          <w:bCs/>
          <w:sz w:val="32"/>
          <w:szCs w:val="32"/>
          <w:shd w:val="clear" w:color="auto" w:fill="FFFFFF"/>
          <w:lang w:eastAsia="zh-CN"/>
        </w:rPr>
        <w:t>财政拨款</w:t>
      </w:r>
      <w:r>
        <w:rPr>
          <w:rStyle w:val="10"/>
          <w:rFonts w:hint="default" w:ascii="Times New Roman" w:hAnsi="Times New Roman" w:eastAsia="方正黑体_GBK" w:cs="Times New Roman"/>
          <w:b w:val="0"/>
          <w:bCs/>
          <w:sz w:val="32"/>
          <w:szCs w:val="32"/>
          <w:shd w:val="clear" w:color="auto" w:fill="FFFFFF"/>
        </w:rPr>
        <w:t>“三公”经费情况说明</w:t>
      </w:r>
    </w:p>
    <w:p w14:paraId="209138A5">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00"/>
          <w:lang w:val="en-US" w:eastAsia="zh-CN"/>
        </w:rPr>
      </w:pPr>
      <w:r>
        <w:rPr>
          <w:rFonts w:hint="default" w:ascii="Times New Roman" w:hAnsi="Times New Roman" w:eastAsia="方正仿宋_GBK" w:cs="Times New Roman"/>
          <w:sz w:val="32"/>
          <w:szCs w:val="32"/>
          <w:lang w:val="en-US" w:eastAsia="zh-CN"/>
        </w:rPr>
        <w:t>我单位属于</w:t>
      </w:r>
      <w:r>
        <w:rPr>
          <w:rFonts w:hint="default" w:ascii="Times New Roman" w:hAnsi="Times New Roman" w:eastAsia="方正仿宋_GBK" w:cs="Times New Roman"/>
          <w:sz w:val="32"/>
          <w:szCs w:val="32"/>
        </w:rPr>
        <w:t>公益一类差额拨款事业单位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财政未保障我单位“三公”经费。</w:t>
      </w:r>
    </w:p>
    <w:p w14:paraId="480041F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368C6890">
      <w:pPr>
        <w:pStyle w:val="11"/>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14:paraId="637F9FD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color w:val="auto"/>
          <w:sz w:val="32"/>
          <w:szCs w:val="32"/>
          <w:lang w:val="en-US" w:eastAsia="zh-CN"/>
        </w:rPr>
        <w:t>因我单位属于</w:t>
      </w:r>
      <w:r>
        <w:rPr>
          <w:rFonts w:hint="default" w:ascii="Times New Roman" w:hAnsi="Times New Roman" w:eastAsia="方正仿宋_GBK" w:cs="Times New Roman"/>
          <w:color w:val="auto"/>
          <w:sz w:val="32"/>
          <w:szCs w:val="32"/>
        </w:rPr>
        <w:t>公益一类差额拨款事业单位</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财政未保障我单位会议费和培训费。</w:t>
      </w:r>
    </w:p>
    <w:p w14:paraId="19DE12EC">
      <w:pPr>
        <w:pStyle w:val="11"/>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2BB62E6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14:paraId="63FDB1E5">
      <w:pPr>
        <w:pStyle w:val="11"/>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720170E2">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17F34A0">
      <w:pPr>
        <w:pStyle w:val="11"/>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1B71C16C">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1.96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1.96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1.96万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1.96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%。主要用于采</w:t>
      </w:r>
      <w:r>
        <w:rPr>
          <w:rFonts w:hint="default" w:ascii="Times New Roman" w:hAnsi="Times New Roman" w:eastAsia="方正仿宋_GBK" w:cs="Times New Roman"/>
          <w:color w:val="auto"/>
          <w:sz w:val="32"/>
          <w:szCs w:val="32"/>
          <w:shd w:val="clear" w:color="auto" w:fill="FFFFFF"/>
        </w:rPr>
        <w:t>购</w:t>
      </w:r>
      <w:r>
        <w:rPr>
          <w:rFonts w:hint="default" w:ascii="Times New Roman" w:hAnsi="Times New Roman" w:eastAsia="方正仿宋_GBK" w:cs="Times New Roman"/>
          <w:color w:val="auto"/>
          <w:sz w:val="32"/>
          <w:szCs w:val="32"/>
          <w:shd w:val="clear" w:color="auto" w:fill="FFFFFF"/>
          <w:lang w:val="en-US" w:eastAsia="zh-CN"/>
        </w:rPr>
        <w:t>台式电脑、打印机和复印纸</w:t>
      </w:r>
      <w:r>
        <w:rPr>
          <w:rFonts w:hint="default" w:ascii="Times New Roman" w:hAnsi="Times New Roman" w:eastAsia="方正仿宋_GBK" w:cs="Times New Roman"/>
          <w:color w:val="auto"/>
          <w:sz w:val="32"/>
          <w:szCs w:val="32"/>
          <w:shd w:val="clear" w:color="auto" w:fill="FFFFFF"/>
        </w:rPr>
        <w:t>。</w:t>
      </w:r>
    </w:p>
    <w:p w14:paraId="05FAC8B0">
      <w:pPr>
        <w:pStyle w:val="16"/>
        <w:keepNext w:val="0"/>
        <w:keepLines w:val="0"/>
        <w:pageBreakBefore w:val="0"/>
        <w:widowControl w:val="0"/>
        <w:tabs>
          <w:tab w:val="center" w:pos="4153"/>
          <w:tab w:val="left" w:pos="7275"/>
        </w:tabs>
        <w:kinsoku/>
        <w:wordWrap/>
        <w:overflowPunct/>
        <w:topLinePunct w:val="0"/>
        <w:autoSpaceDN/>
        <w:bidi w:val="0"/>
        <w:adjustRightInd/>
        <w:spacing w:line="594" w:lineRule="exact"/>
        <w:ind w:firstLine="640" w:firstLineChars="200"/>
        <w:textAlignment w:val="auto"/>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五、预算绩效管理情况说明</w:t>
      </w:r>
    </w:p>
    <w:p w14:paraId="05179D02">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（一）预算绩效管理工作开展情况</w:t>
      </w:r>
    </w:p>
    <w:p w14:paraId="4ED5BBB2">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kern w:val="0"/>
          <w:sz w:val="32"/>
          <w:szCs w:val="32"/>
          <w:highlight w:val="none"/>
          <w:lang w:val="en-US" w:eastAsia="zh-CN" w:bidi="ar"/>
        </w:rPr>
        <w:t>根据预算绩效管理要求，</w:t>
      </w:r>
      <w:r>
        <w:rPr>
          <w:rFonts w:hint="default" w:ascii="Times New Roman" w:hAnsi="Times New Roman" w:eastAsia="方正仿宋_GBK" w:cs="Times New Roman"/>
          <w:color w:val="auto"/>
          <w:kern w:val="0"/>
          <w:sz w:val="32"/>
          <w:szCs w:val="32"/>
          <w:highlight w:val="none"/>
          <w:lang w:val="en-US" w:eastAsia="zh-CN" w:bidi="ar"/>
        </w:rPr>
        <w:t>我单位2个项目开展了绩效自评，涉及财政拨款项目支出资金247.38万元。</w:t>
      </w:r>
    </w:p>
    <w:p w14:paraId="0FAD8E32">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kern w:val="0"/>
          <w:sz w:val="32"/>
          <w:szCs w:val="32"/>
          <w:highlight w:val="none"/>
        </w:rPr>
      </w:pPr>
      <w:r>
        <w:rPr>
          <w:rFonts w:hint="default" w:ascii="Times New Roman" w:hAnsi="Times New Roman" w:eastAsia="方正楷体_GBK" w:cs="Times New Roman"/>
          <w:b w:val="0"/>
          <w:kern w:val="2"/>
          <w:sz w:val="32"/>
          <w:szCs w:val="32"/>
          <w:highlight w:val="none"/>
          <w:shd w:val="clear" w:color="auto" w:fill="FFFFFF"/>
          <w:lang w:val="en-US" w:eastAsia="zh-CN" w:bidi="ar"/>
        </w:rPr>
        <w:t>（二）</w:t>
      </w:r>
      <w:r>
        <w:rPr>
          <w:rFonts w:hint="default" w:ascii="Times New Roman" w:hAnsi="Times New Roman" w:eastAsia="方正楷体_GBK" w:cs="Times New Roman"/>
          <w:kern w:val="0"/>
          <w:sz w:val="32"/>
          <w:szCs w:val="32"/>
          <w:highlight w:val="none"/>
          <w:lang w:val="en-US" w:eastAsia="zh-CN" w:bidi="ar"/>
        </w:rPr>
        <w:t>绩效自评结果</w:t>
      </w:r>
    </w:p>
    <w:p w14:paraId="302445C3">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2"/>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lang w:val="en-US" w:eastAsia="zh-CN" w:bidi="ar"/>
        </w:rPr>
        <w:t>绩效自评结果详见附件2024年度绩效自评公开表（《部门整体绩效自评表</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项目绩效自评结果汇总表</w:t>
      </w:r>
      <w:r>
        <w:rPr>
          <w:rFonts w:hint="eastAsia"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val="en-US" w:eastAsia="zh-CN" w:bidi="ar"/>
        </w:rPr>
        <w:t>项目支出绩效自评表》）。</w:t>
      </w:r>
    </w:p>
    <w:p w14:paraId="7447BA31">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（三）财政绩效评价情况</w:t>
      </w:r>
    </w:p>
    <w:p w14:paraId="410C1F23">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区财政局未委托第三方对我单位开展绩效评价。</w:t>
      </w:r>
    </w:p>
    <w:p w14:paraId="6C5CBD47">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kern w:val="0"/>
          <w:sz w:val="32"/>
          <w:szCs w:val="32"/>
        </w:rPr>
      </w:pPr>
      <w:r>
        <w:rPr>
          <w:rStyle w:val="10"/>
          <w:rFonts w:hint="default" w:ascii="Times New Roman" w:hAnsi="Times New Roman" w:eastAsia="方正黑体_GBK" w:cs="Times New Roman"/>
          <w:b w:val="0"/>
          <w:bCs/>
          <w:sz w:val="32"/>
          <w:szCs w:val="32"/>
          <w:shd w:val="clear" w:color="auto" w:fill="FFFFFF"/>
          <w:lang w:val="en-US" w:eastAsia="zh-CN" w:bidi="ar-SA"/>
        </w:rPr>
        <w:t>六、专业名词解释</w:t>
      </w:r>
    </w:p>
    <w:p w14:paraId="5E435EF4">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33E573E">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3F398CF">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7EB8975">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E65086">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其他收入”等不足以安排当年支出的情况下，使用以前年度积累的非财政拨款结余弥补本年度收支缺口的资金。</w:t>
      </w:r>
    </w:p>
    <w:p w14:paraId="76189DAE">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2509E0A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C91FCFB">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17137BE">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B0F74B4">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338AA2E">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9B29ED7">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770F7C">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EAEC24">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2FFA0E4">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7C7562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C095A49">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A06E50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kern w:val="0"/>
          <w:sz w:val="32"/>
          <w:szCs w:val="32"/>
        </w:rPr>
      </w:pPr>
      <w:r>
        <w:rPr>
          <w:rStyle w:val="10"/>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4D27D8B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2A5C68B1">
      <w:pPr>
        <w:pStyle w:val="11"/>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w:t>
      </w:r>
      <w:r>
        <w:rPr>
          <w:rFonts w:hint="default" w:ascii="Times New Roman" w:hAnsi="Times New Roman" w:eastAsia="方正仿宋_GBK" w:cs="Times New Roman"/>
          <w:color w:val="000000"/>
          <w:sz w:val="32"/>
          <w:szCs w:val="32"/>
          <w:lang w:eastAsia="zh-CN"/>
        </w:rPr>
        <w:t>袁永红</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联系电话：</w:t>
      </w:r>
      <w:r>
        <w:rPr>
          <w:rFonts w:hint="default" w:ascii="Times New Roman" w:hAnsi="Times New Roman" w:eastAsia="方正仿宋_GBK" w:cs="Times New Roman"/>
          <w:color w:val="000000"/>
          <w:sz w:val="32"/>
          <w:szCs w:val="32"/>
          <w:lang w:val="en-US" w:eastAsia="zh-CN"/>
        </w:rPr>
        <w:t>15723113766</w:t>
      </w:r>
    </w:p>
    <w:p w14:paraId="5DFD30F9">
      <w:pPr>
        <w:pStyle w:val="11"/>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left="0" w:leftChars="0" w:firstLine="0" w:firstLineChars="0"/>
        <w:jc w:val="both"/>
        <w:textAlignment w:val="auto"/>
        <w:rPr>
          <w:rStyle w:val="13"/>
          <w:rFonts w:hint="default" w:ascii="方正仿宋_GBK" w:hAnsi="方正仿宋_GBK" w:eastAsia="方正仿宋_GBK" w:cs="方正仿宋_GBK"/>
          <w:b/>
          <w:bCs/>
          <w:sz w:val="32"/>
          <w:szCs w:val="32"/>
          <w:shd w:val="clear" w:fill="FFFF00"/>
        </w:rPr>
      </w:pPr>
      <w:bookmarkStart w:id="0" w:name="_GoBack"/>
      <w:bookmarkEnd w:id="0"/>
    </w:p>
    <w:sectPr>
      <w:headerReference r:id="rId3" w:type="default"/>
      <w:footerReference r:id="rId4" w:type="default"/>
      <w:pgSz w:w="11850" w:h="16783"/>
      <w:pgMar w:top="1984" w:right="1446" w:bottom="1644" w:left="1446" w:header="850"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86CF63-0C3A-4448-9479-DE636E263A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74B31B73-4B60-4E58-96C9-C747C996A971}"/>
  </w:font>
  <w:font w:name="方正黑体_GBK">
    <w:panose1 w:val="03000509000000000000"/>
    <w:charset w:val="86"/>
    <w:family w:val="script"/>
    <w:pitch w:val="default"/>
    <w:sig w:usb0="00000001" w:usb1="080E0000" w:usb2="00000000" w:usb3="00000000" w:csb0="00040000" w:csb1="00000000"/>
    <w:embedRegular r:id="rId3" w:fontKey="{2B193C31-0A97-4ED1-8805-7D5A0543DC7A}"/>
  </w:font>
  <w:font w:name="方正楷体_GBK">
    <w:panose1 w:val="03000509000000000000"/>
    <w:charset w:val="86"/>
    <w:family w:val="auto"/>
    <w:pitch w:val="default"/>
    <w:sig w:usb0="00000001" w:usb1="080E0000" w:usb2="00000000" w:usb3="00000000" w:csb0="00040000" w:csb1="00000000"/>
    <w:embedRegular r:id="rId4" w:fontKey="{59764D40-FA39-402D-8486-0EEABE461FBA}"/>
  </w:font>
  <w:font w:name="方正仿宋_GBK">
    <w:panose1 w:val="02000000000000000000"/>
    <w:charset w:val="86"/>
    <w:family w:val="script"/>
    <w:pitch w:val="default"/>
    <w:sig w:usb0="00000001" w:usb1="080E0000" w:usb2="00000000" w:usb3="00000000" w:csb0="00040000" w:csb1="00000000"/>
    <w:embedRegular r:id="rId5" w:fontKey="{FFDDA816-9F0E-47CD-B961-0AA1DD541D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F07E">
    <w:pPr>
      <w:pStyle w:val="3"/>
      <w:jc w:val="both"/>
      <w:rPr>
        <w:rFonts w:hint="default"/>
      </w:rPr>
    </w:pPr>
    <w:r>
      <w:rPr>
        <w:rFonts w:hint="default"/>
      </w:rPr>
      <w:pict>
        <v:shape id="_x0000_s1032" o:spid="_x0000_s1032" o:spt="202" type="#_x0000_t202" style="position:absolute;left:0pt;margin-top:0pt;height:144pt;width:144pt;mso-position-horizontal:right;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5537184B">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C525DFD">
                <w:pPr>
                  <w:pStyle w:val="3"/>
                  <w:jc w:val="both"/>
                  <w:rPr>
                    <w:rFonts w:hint="default" w:cs="宋体"/>
                  </w:rPr>
                </w:pPr>
                <w:r>
                  <w:rPr>
                    <w:rFonts w:cs="宋体"/>
                  </w:rPr>
                  <w:t>—27.1—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573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97548"/>
    <w:rsid w:val="00FB4B3B"/>
    <w:rsid w:val="01474EBF"/>
    <w:rsid w:val="01F3521E"/>
    <w:rsid w:val="023F66B6"/>
    <w:rsid w:val="03B87EA0"/>
    <w:rsid w:val="03E3214F"/>
    <w:rsid w:val="044C50BA"/>
    <w:rsid w:val="04E11CA6"/>
    <w:rsid w:val="05726749"/>
    <w:rsid w:val="057C19CF"/>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176BD"/>
    <w:rsid w:val="0AB54CC0"/>
    <w:rsid w:val="0B882E7B"/>
    <w:rsid w:val="0B9335CE"/>
    <w:rsid w:val="0BF2311A"/>
    <w:rsid w:val="0C5A32DA"/>
    <w:rsid w:val="0C7927C4"/>
    <w:rsid w:val="0C9B098C"/>
    <w:rsid w:val="0D673E11"/>
    <w:rsid w:val="0DAB2E51"/>
    <w:rsid w:val="0DDA54E4"/>
    <w:rsid w:val="0E3A5F83"/>
    <w:rsid w:val="0F836721"/>
    <w:rsid w:val="0FA25D96"/>
    <w:rsid w:val="100E549C"/>
    <w:rsid w:val="107B59E5"/>
    <w:rsid w:val="10CC3887"/>
    <w:rsid w:val="10EC0126"/>
    <w:rsid w:val="10F70B9A"/>
    <w:rsid w:val="111445C7"/>
    <w:rsid w:val="114278C6"/>
    <w:rsid w:val="1158083A"/>
    <w:rsid w:val="11643A4B"/>
    <w:rsid w:val="11ED0F98"/>
    <w:rsid w:val="11F03528"/>
    <w:rsid w:val="12C921C4"/>
    <w:rsid w:val="13082AF4"/>
    <w:rsid w:val="13871C70"/>
    <w:rsid w:val="13A71CB4"/>
    <w:rsid w:val="13AF1D43"/>
    <w:rsid w:val="13CE1647"/>
    <w:rsid w:val="13FD55AB"/>
    <w:rsid w:val="14200702"/>
    <w:rsid w:val="14370EA1"/>
    <w:rsid w:val="16037432"/>
    <w:rsid w:val="163A6CEE"/>
    <w:rsid w:val="173708E3"/>
    <w:rsid w:val="17C374FC"/>
    <w:rsid w:val="180E64B6"/>
    <w:rsid w:val="182E4AB6"/>
    <w:rsid w:val="189079DC"/>
    <w:rsid w:val="189B0D0B"/>
    <w:rsid w:val="18B43F7C"/>
    <w:rsid w:val="191C433B"/>
    <w:rsid w:val="194A1770"/>
    <w:rsid w:val="19B906A4"/>
    <w:rsid w:val="19F33BB6"/>
    <w:rsid w:val="1A786D0C"/>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BD373E"/>
    <w:rsid w:val="24C14514"/>
    <w:rsid w:val="24E37FCC"/>
    <w:rsid w:val="252D4D73"/>
    <w:rsid w:val="2533755C"/>
    <w:rsid w:val="25791755"/>
    <w:rsid w:val="26396DF4"/>
    <w:rsid w:val="26B75BDF"/>
    <w:rsid w:val="27167136"/>
    <w:rsid w:val="271B442C"/>
    <w:rsid w:val="27B23302"/>
    <w:rsid w:val="286A598B"/>
    <w:rsid w:val="29310A5F"/>
    <w:rsid w:val="29C37A35"/>
    <w:rsid w:val="2A076083"/>
    <w:rsid w:val="2A73162E"/>
    <w:rsid w:val="2A76270D"/>
    <w:rsid w:val="2B167953"/>
    <w:rsid w:val="2B200583"/>
    <w:rsid w:val="2B2729C0"/>
    <w:rsid w:val="2B8209DE"/>
    <w:rsid w:val="2B821C91"/>
    <w:rsid w:val="2BF81A22"/>
    <w:rsid w:val="2C636760"/>
    <w:rsid w:val="2C6762A3"/>
    <w:rsid w:val="2D764EB5"/>
    <w:rsid w:val="2DBE543C"/>
    <w:rsid w:val="2DF66D0F"/>
    <w:rsid w:val="2EB53028"/>
    <w:rsid w:val="2EE9564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F34D9D"/>
    <w:rsid w:val="37841E99"/>
    <w:rsid w:val="37BF1123"/>
    <w:rsid w:val="383C3F15"/>
    <w:rsid w:val="38BE4696"/>
    <w:rsid w:val="3939115E"/>
    <w:rsid w:val="39B82A39"/>
    <w:rsid w:val="39C42CA8"/>
    <w:rsid w:val="39DC4FD6"/>
    <w:rsid w:val="39F03D7A"/>
    <w:rsid w:val="39F33306"/>
    <w:rsid w:val="3A070207"/>
    <w:rsid w:val="3A2C1C67"/>
    <w:rsid w:val="3A6A77C9"/>
    <w:rsid w:val="3ADD7F09"/>
    <w:rsid w:val="3B1705E5"/>
    <w:rsid w:val="3B18334B"/>
    <w:rsid w:val="3B36794F"/>
    <w:rsid w:val="3B6F6EE0"/>
    <w:rsid w:val="3C566AD6"/>
    <w:rsid w:val="3C594871"/>
    <w:rsid w:val="3C6A5B02"/>
    <w:rsid w:val="3D083B3A"/>
    <w:rsid w:val="3D2757A1"/>
    <w:rsid w:val="3D3D4FC4"/>
    <w:rsid w:val="3DDF3AB1"/>
    <w:rsid w:val="3DFD24EF"/>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4B6458"/>
    <w:rsid w:val="41E0734B"/>
    <w:rsid w:val="426C1EA8"/>
    <w:rsid w:val="42736402"/>
    <w:rsid w:val="42E86A87"/>
    <w:rsid w:val="432A5FEB"/>
    <w:rsid w:val="43307B09"/>
    <w:rsid w:val="439A3EB9"/>
    <w:rsid w:val="439E651B"/>
    <w:rsid w:val="43BB152F"/>
    <w:rsid w:val="44204EDB"/>
    <w:rsid w:val="44C37687"/>
    <w:rsid w:val="45CB699A"/>
    <w:rsid w:val="46423C66"/>
    <w:rsid w:val="465B470D"/>
    <w:rsid w:val="469D6AD4"/>
    <w:rsid w:val="471E6C84"/>
    <w:rsid w:val="4748792B"/>
    <w:rsid w:val="475D719D"/>
    <w:rsid w:val="47674801"/>
    <w:rsid w:val="48225EF7"/>
    <w:rsid w:val="485667D0"/>
    <w:rsid w:val="486A0C38"/>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387EB9"/>
    <w:rsid w:val="56530F5D"/>
    <w:rsid w:val="565A053D"/>
    <w:rsid w:val="567700D3"/>
    <w:rsid w:val="56FF7E9E"/>
    <w:rsid w:val="578867FC"/>
    <w:rsid w:val="582632A6"/>
    <w:rsid w:val="5842572D"/>
    <w:rsid w:val="59DB7BE7"/>
    <w:rsid w:val="5A3B59D6"/>
    <w:rsid w:val="5AD134D8"/>
    <w:rsid w:val="5B2353A2"/>
    <w:rsid w:val="5BF41F67"/>
    <w:rsid w:val="5C263CE4"/>
    <w:rsid w:val="5C525B41"/>
    <w:rsid w:val="5C5D2777"/>
    <w:rsid w:val="5CF66BF3"/>
    <w:rsid w:val="5D290C69"/>
    <w:rsid w:val="5DA80C2C"/>
    <w:rsid w:val="5F2D4A41"/>
    <w:rsid w:val="60C74F6C"/>
    <w:rsid w:val="61015958"/>
    <w:rsid w:val="61025A59"/>
    <w:rsid w:val="613D5BBC"/>
    <w:rsid w:val="61536C39"/>
    <w:rsid w:val="620A72BB"/>
    <w:rsid w:val="62944DD7"/>
    <w:rsid w:val="6319381F"/>
    <w:rsid w:val="637C7D45"/>
    <w:rsid w:val="63C25DC5"/>
    <w:rsid w:val="63C62057"/>
    <w:rsid w:val="64571EF5"/>
    <w:rsid w:val="646B1AA9"/>
    <w:rsid w:val="64FB113D"/>
    <w:rsid w:val="656152C6"/>
    <w:rsid w:val="6587477F"/>
    <w:rsid w:val="658C3A08"/>
    <w:rsid w:val="659F7D1B"/>
    <w:rsid w:val="65C031CA"/>
    <w:rsid w:val="65CE6852"/>
    <w:rsid w:val="65F362B8"/>
    <w:rsid w:val="66267C04"/>
    <w:rsid w:val="663F505A"/>
    <w:rsid w:val="666C2D2F"/>
    <w:rsid w:val="66AF5D7C"/>
    <w:rsid w:val="66EE5541"/>
    <w:rsid w:val="67924660"/>
    <w:rsid w:val="68407834"/>
    <w:rsid w:val="6883293E"/>
    <w:rsid w:val="688412AD"/>
    <w:rsid w:val="68C53F3C"/>
    <w:rsid w:val="68EB1B71"/>
    <w:rsid w:val="696C0310"/>
    <w:rsid w:val="69BE0DE5"/>
    <w:rsid w:val="69E06B54"/>
    <w:rsid w:val="6A6C7940"/>
    <w:rsid w:val="6A8919DC"/>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34EE9"/>
    <w:rsid w:val="6FE55E12"/>
    <w:rsid w:val="6FE73160"/>
    <w:rsid w:val="6FFB2E76"/>
    <w:rsid w:val="708F6F7F"/>
    <w:rsid w:val="70D94BD3"/>
    <w:rsid w:val="71574775"/>
    <w:rsid w:val="71C34D91"/>
    <w:rsid w:val="72DB435C"/>
    <w:rsid w:val="72E2613A"/>
    <w:rsid w:val="72F771F4"/>
    <w:rsid w:val="73934AD2"/>
    <w:rsid w:val="750837F0"/>
    <w:rsid w:val="752C2C18"/>
    <w:rsid w:val="754758CF"/>
    <w:rsid w:val="75595ECD"/>
    <w:rsid w:val="764F62AB"/>
    <w:rsid w:val="765C45EC"/>
    <w:rsid w:val="767C29A9"/>
    <w:rsid w:val="768A7619"/>
    <w:rsid w:val="76BD23AB"/>
    <w:rsid w:val="772E1EBA"/>
    <w:rsid w:val="77972F48"/>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3938</Words>
  <Characters>4362</Characters>
  <Lines>186</Lines>
  <Paragraphs>52</Paragraphs>
  <TotalTime>43</TotalTime>
  <ScaleCrop>false</ScaleCrop>
  <LinksUpToDate>false</LinksUpToDate>
  <CharactersWithSpaces>4374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焦敏</cp:lastModifiedBy>
  <dcterms:modified xsi:type="dcterms:W3CDTF">2025-10-11T07:25:20Z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eyJoZGlkIjoiMzI3YzFjMGQxNTdmY2JmOGJhZjBlOTc1M2IyZWU2NzciLCJ1c2VySWQiOiI5MzIzNzM0NDYifQ==</vt:lpwstr>
  </property>
</Properties>
</file>