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FE12">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重庆市长寿区新市街道</w:t>
      </w:r>
      <w:r>
        <w:rPr>
          <w:rFonts w:ascii="方正小标宋_GBK" w:hAnsi="方正小标宋_GBK" w:eastAsia="方正小标宋_GBK" w:cs="方正小标宋_GBK"/>
          <w:sz w:val="44"/>
          <w:szCs w:val="44"/>
        </w:rPr>
        <w:t>社区卫生服务中心</w:t>
      </w:r>
    </w:p>
    <w:p w14:paraId="2709AC90">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07DAF8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62E132C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fill="FFFFFF"/>
          <w:lang w:val="en-US" w:eastAsia="zh-CN" w:bidi="ar-SA"/>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14:paraId="7C4E1D2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方正楷体_GBK" w:hAnsi="方正楷体_GBK" w:eastAsia="方正楷体_GBK" w:cs="方正楷体_GBK"/>
          <w:b w:val="0"/>
          <w:bCs/>
          <w:sz w:val="32"/>
          <w:szCs w:val="32"/>
          <w:highlight w:val="none"/>
        </w:rPr>
      </w:pPr>
      <w:r>
        <w:rPr>
          <w:rStyle w:val="10"/>
          <w:rFonts w:hint="eastAsia" w:ascii="方正楷体_GBK" w:hAnsi="方正楷体_GBK" w:eastAsia="方正楷体_GBK" w:cs="方正楷体_GBK"/>
          <w:b w:val="0"/>
          <w:bCs/>
          <w:sz w:val="32"/>
          <w:szCs w:val="32"/>
          <w:highlight w:val="none"/>
          <w:shd w:val="clear" w:color="auto" w:fill="FFFFFF"/>
        </w:rPr>
        <w:t>（一）职能职责</w:t>
      </w:r>
    </w:p>
    <w:p w14:paraId="40E4E964">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仿宋_GBK" w:eastAsia="方正仿宋_GBK"/>
          <w:sz w:val="32"/>
          <w:szCs w:val="32"/>
        </w:rPr>
      </w:pPr>
      <w:r>
        <w:rPr>
          <w:rFonts w:hint="eastAsia" w:ascii="方正仿宋_GBK" w:eastAsia="方正仿宋_GBK"/>
          <w:b/>
          <w:sz w:val="32"/>
          <w:szCs w:val="32"/>
        </w:rPr>
        <w:t>1.承担公共卫生服务</w:t>
      </w:r>
      <w:r>
        <w:rPr>
          <w:rFonts w:hint="eastAsia" w:ascii="方正仿宋_GBK" w:eastAsia="方正仿宋_GBK"/>
          <w:sz w:val="32"/>
          <w:szCs w:val="32"/>
        </w:rPr>
        <w:t>。</w:t>
      </w:r>
      <w:r>
        <w:rPr>
          <w:rFonts w:hint="eastAsia" w:ascii="方正仿宋_GBK" w:eastAsia="方正仿宋_GBK"/>
          <w:sz w:val="32"/>
          <w:szCs w:val="32"/>
          <w:lang w:eastAsia="zh-CN"/>
        </w:rPr>
        <w:t>主</w:t>
      </w:r>
      <w:r>
        <w:rPr>
          <w:rFonts w:hint="eastAsia" w:ascii="方正仿宋_GBK" w:eastAsia="方正仿宋_GBK"/>
          <w:sz w:val="32"/>
          <w:szCs w:val="32"/>
        </w:rPr>
        <w:t>要包括疾病控制、妇幼保健、卫生监督协管、健康教育等公共卫生相关服务,独立完成公共卫生服务项目任务。</w:t>
      </w:r>
    </w:p>
    <w:p w14:paraId="2B7DF8FA">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仿宋_GBK" w:eastAsia="方正仿宋_GBK"/>
          <w:sz w:val="32"/>
          <w:szCs w:val="32"/>
        </w:rPr>
      </w:pPr>
      <w:r>
        <w:rPr>
          <w:rFonts w:hint="eastAsia" w:ascii="方正仿宋_GBK" w:eastAsia="方正仿宋_GBK"/>
          <w:b/>
          <w:sz w:val="32"/>
          <w:szCs w:val="32"/>
        </w:rPr>
        <w:t>2.承担基本医疗服务</w:t>
      </w:r>
      <w:r>
        <w:rPr>
          <w:rFonts w:hint="eastAsia" w:ascii="方正仿宋_GBK" w:eastAsia="方正仿宋_GBK"/>
          <w:sz w:val="32"/>
          <w:szCs w:val="32"/>
        </w:rPr>
        <w:t>。主要包括</w:t>
      </w:r>
      <w:r>
        <w:rPr>
          <w:rFonts w:hint="eastAsia" w:ascii="方正仿宋_GBK" w:eastAsia="方正仿宋_GBK"/>
          <w:sz w:val="32"/>
          <w:szCs w:val="32"/>
          <w:lang w:val="en-US" w:eastAsia="zh-CN"/>
        </w:rPr>
        <w:t>一</w:t>
      </w:r>
      <w:r>
        <w:rPr>
          <w:rFonts w:hint="eastAsia" w:ascii="方正仿宋_GBK" w:eastAsia="方正仿宋_GBK"/>
          <w:sz w:val="32"/>
          <w:szCs w:val="32"/>
        </w:rPr>
        <w:t>般常见病、多发病的门诊和住院诊治</w:t>
      </w:r>
      <w:r>
        <w:rPr>
          <w:rFonts w:hint="eastAsia" w:ascii="方正仿宋_GBK" w:eastAsia="方正仿宋_GBK"/>
          <w:sz w:val="32"/>
          <w:szCs w:val="32"/>
          <w:lang w:eastAsia="zh-CN"/>
        </w:rPr>
        <w:t>；</w:t>
      </w:r>
      <w:r>
        <w:rPr>
          <w:rFonts w:hint="eastAsia" w:ascii="方正仿宋_GBK" w:eastAsia="方正仿宋_GBK"/>
          <w:sz w:val="32"/>
          <w:szCs w:val="32"/>
        </w:rPr>
        <w:t>医疗康复</w:t>
      </w:r>
      <w:r>
        <w:rPr>
          <w:rFonts w:hint="eastAsia" w:ascii="方正仿宋_GBK" w:eastAsia="方正仿宋_GBK"/>
          <w:sz w:val="32"/>
          <w:szCs w:val="32"/>
          <w:lang w:eastAsia="zh-CN"/>
        </w:rPr>
        <w:t>；</w:t>
      </w:r>
      <w:r>
        <w:rPr>
          <w:rFonts w:hint="eastAsia" w:ascii="方正仿宋_GBK" w:eastAsia="方正仿宋_GBK"/>
          <w:sz w:val="32"/>
          <w:szCs w:val="32"/>
        </w:rPr>
        <w:t>推广中医药适宜技术</w:t>
      </w:r>
      <w:r>
        <w:rPr>
          <w:rFonts w:hint="eastAsia" w:ascii="方正仿宋_GBK" w:eastAsia="方正仿宋_GBK"/>
          <w:sz w:val="32"/>
          <w:szCs w:val="32"/>
          <w:lang w:eastAsia="zh-CN"/>
        </w:rPr>
        <w:t>；</w:t>
      </w:r>
      <w:r>
        <w:rPr>
          <w:rFonts w:hint="eastAsia" w:ascii="方正仿宋_GBK" w:eastAsia="方正仿宋_GBK"/>
          <w:sz w:val="32"/>
          <w:szCs w:val="32"/>
        </w:rPr>
        <w:t>发挥中医药在常见病、多发病和慢性病防治中的作用。</w:t>
      </w:r>
    </w:p>
    <w:p w14:paraId="411084D7">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仿宋_GBK" w:eastAsia="方正仿宋_GBK"/>
          <w:sz w:val="32"/>
          <w:szCs w:val="32"/>
        </w:rPr>
      </w:pPr>
      <w:r>
        <w:rPr>
          <w:rFonts w:hint="eastAsia" w:ascii="方正仿宋_GBK" w:eastAsia="方正仿宋_GBK"/>
          <w:b/>
          <w:sz w:val="32"/>
          <w:szCs w:val="32"/>
        </w:rPr>
        <w:t>3.承担计划生育技术服务</w:t>
      </w:r>
      <w:r>
        <w:rPr>
          <w:rFonts w:hint="eastAsia" w:ascii="方正仿宋_GBK" w:eastAsia="方正仿宋_GBK"/>
          <w:sz w:val="32"/>
          <w:szCs w:val="32"/>
        </w:rPr>
        <w:t>。主要包括避孕节育、生殖健康、优生服务和家庭保健等相关服务。</w:t>
      </w:r>
    </w:p>
    <w:p w14:paraId="66CB8D9C">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仿宋_GBK" w:eastAsia="方正仿宋_GBK"/>
          <w:sz w:val="32"/>
          <w:szCs w:val="32"/>
        </w:rPr>
      </w:pPr>
      <w:r>
        <w:rPr>
          <w:rFonts w:hint="eastAsia" w:ascii="方正仿宋_GBK" w:eastAsia="方正仿宋_GBK"/>
          <w:b/>
          <w:sz w:val="32"/>
          <w:szCs w:val="32"/>
        </w:rPr>
        <w:t>4.承担卫生应急任务。</w:t>
      </w:r>
      <w:r>
        <w:rPr>
          <w:rFonts w:hint="eastAsia" w:ascii="方正仿宋_GBK" w:eastAsia="方正仿宋_GBK"/>
          <w:b/>
          <w:sz w:val="32"/>
          <w:szCs w:val="32"/>
          <w:lang w:eastAsia="zh-CN"/>
        </w:rPr>
        <w:t>主</w:t>
      </w:r>
      <w:r>
        <w:rPr>
          <w:rFonts w:hint="eastAsia" w:ascii="方正仿宋_GBK" w:eastAsia="方正仿宋_GBK"/>
          <w:sz w:val="32"/>
          <w:szCs w:val="32"/>
        </w:rPr>
        <w:t>要包括区域内“120”急救、突发事件紧急医疗救援、突发公共卫生事件防控等相关任务。</w:t>
      </w:r>
    </w:p>
    <w:p w14:paraId="0C42D2BE">
      <w:pPr>
        <w:keepNext w:val="0"/>
        <w:keepLines w:val="0"/>
        <w:pageBreakBefore w:val="0"/>
        <w:kinsoku/>
        <w:wordWrap/>
        <w:overflowPunct/>
        <w:topLinePunct w:val="0"/>
        <w:autoSpaceDN/>
        <w:bidi w:val="0"/>
        <w:adjustRightInd/>
        <w:spacing w:line="590" w:lineRule="exact"/>
        <w:ind w:firstLine="643" w:firstLineChars="200"/>
        <w:textAlignment w:val="auto"/>
        <w:rPr>
          <w:rFonts w:hint="eastAsia" w:ascii="方正仿宋_GBK" w:eastAsia="方正仿宋_GBK"/>
          <w:sz w:val="32"/>
          <w:szCs w:val="32"/>
        </w:rPr>
      </w:pPr>
      <w:r>
        <w:rPr>
          <w:rFonts w:hint="eastAsia" w:ascii="方正仿宋_GBK" w:eastAsia="方正仿宋_GBK"/>
          <w:b/>
          <w:sz w:val="32"/>
          <w:szCs w:val="32"/>
        </w:rPr>
        <w:t>5.承担卫生管理任务。</w:t>
      </w:r>
      <w:r>
        <w:rPr>
          <w:rFonts w:hint="eastAsia" w:ascii="方正仿宋_GBK" w:eastAsia="方正仿宋_GBK"/>
          <w:sz w:val="32"/>
          <w:szCs w:val="32"/>
        </w:rPr>
        <w:t>主要包括协助区卫生健康委负责辖区内卫生管理工作,协助当地党委政府指导爱国卫生工作等相关任务。</w:t>
      </w:r>
    </w:p>
    <w:p w14:paraId="37C0FFA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default"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（二）机构设置</w:t>
      </w:r>
    </w:p>
    <w:p w14:paraId="41ED95C3">
      <w:pPr>
        <w:keepNext w:val="0"/>
        <w:keepLines w:val="0"/>
        <w:pageBreakBefore w:val="0"/>
        <w:numPr>
          <w:ilvl w:val="0"/>
          <w:numId w:val="0"/>
        </w:numPr>
        <w:kinsoku/>
        <w:wordWrap/>
        <w:overflowPunct/>
        <w:topLinePunct w:val="0"/>
        <w:autoSpaceDN/>
        <w:bidi w:val="0"/>
        <w:adjustRightInd/>
        <w:spacing w:line="59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我单位是</w:t>
      </w:r>
      <w:r>
        <w:rPr>
          <w:rFonts w:hint="eastAsia" w:ascii="方正仿宋_GBK" w:eastAsia="方正仿宋_GBK"/>
          <w:sz w:val="32"/>
          <w:szCs w:val="32"/>
          <w:lang w:val="en-US" w:eastAsia="zh-CN"/>
        </w:rPr>
        <w:t>重庆</w:t>
      </w:r>
      <w:r>
        <w:rPr>
          <w:rFonts w:hint="eastAsia" w:ascii="方正仿宋_GBK" w:eastAsia="方正仿宋_GBK"/>
          <w:sz w:val="32"/>
          <w:szCs w:val="32"/>
        </w:rPr>
        <w:t>市</w:t>
      </w:r>
      <w:r>
        <w:rPr>
          <w:rFonts w:hint="eastAsia" w:ascii="方正仿宋_GBK" w:eastAsia="方正仿宋_GBK"/>
          <w:sz w:val="32"/>
          <w:szCs w:val="32"/>
          <w:lang w:val="en-US" w:eastAsia="zh-CN"/>
        </w:rPr>
        <w:t>长寿</w:t>
      </w:r>
      <w:r>
        <w:rPr>
          <w:rFonts w:hint="eastAsia" w:ascii="方正仿宋_GBK" w:eastAsia="方正仿宋_GBK"/>
          <w:sz w:val="32"/>
          <w:szCs w:val="32"/>
        </w:rPr>
        <w:t>区卫生健康委下属正科级公益一类差额拨款事业单位。设置有行政办公室、医保物价办公室、后勤总务科、财务科、医护质量科、内科、外科、中医科、妇产科、中西医结合科、全科医疗科、精神科、医学检验科、医学影像科、公共卫生科等科室。</w:t>
      </w:r>
    </w:p>
    <w:p w14:paraId="3B111BC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lang w:val="en-US" w:eastAsia="zh-CN"/>
        </w:rPr>
      </w:pPr>
      <w:r>
        <w:rPr>
          <w:rStyle w:val="10"/>
          <w:rFonts w:hint="eastAsia" w:ascii="方正楷体_GBK" w:hAnsi="方正楷体_GBK" w:eastAsia="方正楷体_GBK" w:cs="方正楷体_GBK"/>
          <w:b w:val="0"/>
          <w:bCs/>
          <w:sz w:val="32"/>
          <w:szCs w:val="32"/>
          <w:highlight w:val="none"/>
          <w:shd w:val="clear" w:color="auto" w:fill="FFFFFF"/>
          <w:lang w:val="en-US" w:eastAsia="zh-CN"/>
        </w:rPr>
        <w:t>（三）人员情况</w:t>
      </w:r>
    </w:p>
    <w:p w14:paraId="141BB8C7">
      <w:pPr>
        <w:keepNext w:val="0"/>
        <w:keepLines w:val="0"/>
        <w:pageBreakBefore w:val="0"/>
        <w:numPr>
          <w:ilvl w:val="0"/>
          <w:numId w:val="0"/>
        </w:numPr>
        <w:kinsoku/>
        <w:wordWrap/>
        <w:overflowPunct/>
        <w:topLinePunct w:val="0"/>
        <w:autoSpaceDN/>
        <w:bidi w:val="0"/>
        <w:adjustRightInd/>
        <w:spacing w:line="590" w:lineRule="exact"/>
        <w:ind w:firstLine="640" w:firstLineChars="200"/>
        <w:textAlignment w:val="auto"/>
        <w:rPr>
          <w:rFonts w:hint="eastAsia" w:ascii="方正仿宋_GBK" w:eastAsia="方正仿宋_GBK"/>
          <w:sz w:val="32"/>
          <w:szCs w:val="32"/>
          <w:lang w:val="en-US" w:eastAsia="zh-CN"/>
        </w:rPr>
      </w:pPr>
      <w:r>
        <w:rPr>
          <w:rFonts w:hint="eastAsia" w:ascii="方正仿宋_GBK" w:hAnsi="微软雅黑" w:eastAsia="方正仿宋_GBK" w:cs="方正仿宋_GBK"/>
          <w:sz w:val="32"/>
          <w:szCs w:val="32"/>
        </w:rPr>
        <w:t>核编2</w:t>
      </w:r>
      <w:r>
        <w:rPr>
          <w:rFonts w:hint="eastAsia" w:ascii="方正仿宋_GBK" w:hAnsi="微软雅黑" w:eastAsia="方正仿宋_GBK" w:cs="方正仿宋_GBK"/>
          <w:sz w:val="32"/>
          <w:szCs w:val="32"/>
          <w:lang w:val="en-US" w:eastAsia="zh-CN"/>
        </w:rPr>
        <w:t>6</w:t>
      </w:r>
      <w:r>
        <w:rPr>
          <w:rFonts w:hint="eastAsia" w:ascii="方正仿宋_GBK" w:hAnsi="微软雅黑" w:eastAsia="方正仿宋_GBK" w:cs="方正仿宋_GBK"/>
          <w:sz w:val="32"/>
          <w:szCs w:val="32"/>
        </w:rPr>
        <w:t>人，在编2</w:t>
      </w:r>
      <w:r>
        <w:rPr>
          <w:rFonts w:hint="eastAsia" w:ascii="方正仿宋_GBK" w:hAnsi="微软雅黑" w:eastAsia="方正仿宋_GBK" w:cs="方正仿宋_GBK"/>
          <w:sz w:val="32"/>
          <w:szCs w:val="32"/>
          <w:lang w:val="en-US" w:eastAsia="zh-CN"/>
        </w:rPr>
        <w:t>4</w:t>
      </w:r>
      <w:r>
        <w:rPr>
          <w:rFonts w:hint="eastAsia" w:ascii="方正仿宋_GBK" w:hAnsi="微软雅黑" w:eastAsia="方正仿宋_GBK" w:cs="方正仿宋_GBK"/>
          <w:sz w:val="32"/>
          <w:szCs w:val="32"/>
        </w:rPr>
        <w:t>人，其中管理1人、专技2</w:t>
      </w:r>
      <w:r>
        <w:rPr>
          <w:rFonts w:hint="eastAsia" w:ascii="方正仿宋_GBK" w:hAnsi="微软雅黑" w:eastAsia="方正仿宋_GBK" w:cs="方正仿宋_GBK"/>
          <w:sz w:val="32"/>
          <w:szCs w:val="32"/>
          <w:lang w:val="en-US" w:eastAsia="zh-CN"/>
        </w:rPr>
        <w:t>3</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副高</w:t>
      </w:r>
      <w:r>
        <w:rPr>
          <w:rFonts w:hint="eastAsia" w:ascii="方正仿宋_GBK" w:hAnsi="微软雅黑" w:eastAsia="方正仿宋_GBK" w:cs="方正仿宋_GBK"/>
          <w:sz w:val="32"/>
          <w:szCs w:val="32"/>
          <w:lang w:val="en-US" w:eastAsia="zh-CN"/>
        </w:rPr>
        <w:t>4人，</w:t>
      </w:r>
      <w:r>
        <w:rPr>
          <w:rFonts w:hint="eastAsia" w:ascii="方正仿宋_GBK" w:hAnsi="微软雅黑" w:eastAsia="方正仿宋_GBK" w:cs="方正仿宋_GBK"/>
          <w:sz w:val="32"/>
          <w:szCs w:val="32"/>
        </w:rPr>
        <w:t>中级</w:t>
      </w:r>
      <w:r>
        <w:rPr>
          <w:rFonts w:hint="eastAsia" w:ascii="方正仿宋_GBK" w:hAnsi="微软雅黑" w:eastAsia="方正仿宋_GBK" w:cs="方正仿宋_GBK"/>
          <w:sz w:val="32"/>
          <w:szCs w:val="32"/>
          <w:lang w:val="en-US" w:eastAsia="zh-CN"/>
        </w:rPr>
        <w:t>11</w:t>
      </w:r>
      <w:r>
        <w:rPr>
          <w:rFonts w:hint="eastAsia" w:ascii="方正仿宋_GBK" w:hAnsi="微软雅黑" w:eastAsia="方正仿宋_GBK" w:cs="方正仿宋_GBK"/>
          <w:sz w:val="32"/>
          <w:szCs w:val="32"/>
        </w:rPr>
        <w:t>人，初级</w:t>
      </w:r>
      <w:r>
        <w:rPr>
          <w:rFonts w:hint="eastAsia" w:ascii="方正仿宋_GBK" w:hAnsi="微软雅黑" w:eastAsia="方正仿宋_GBK" w:cs="方正仿宋_GBK"/>
          <w:sz w:val="32"/>
          <w:szCs w:val="32"/>
          <w:lang w:val="en-US" w:eastAsia="zh-CN"/>
        </w:rPr>
        <w:t>8</w:t>
      </w:r>
      <w:r>
        <w:rPr>
          <w:rFonts w:hint="eastAsia" w:ascii="方正仿宋_GBK" w:hAnsi="微软雅黑" w:eastAsia="方正仿宋_GBK" w:cs="方正仿宋_GBK"/>
          <w:sz w:val="32"/>
          <w:szCs w:val="32"/>
        </w:rPr>
        <w:t>人）,临聘人员1</w:t>
      </w:r>
      <w:r>
        <w:rPr>
          <w:rFonts w:hint="eastAsia" w:ascii="方正仿宋_GBK" w:hAnsi="微软雅黑" w:eastAsia="方正仿宋_GBK" w:cs="方正仿宋_GBK"/>
          <w:sz w:val="32"/>
          <w:szCs w:val="32"/>
          <w:lang w:val="en-US" w:eastAsia="zh-CN"/>
        </w:rPr>
        <w:t>5</w:t>
      </w:r>
      <w:r>
        <w:rPr>
          <w:rFonts w:hint="eastAsia" w:ascii="方正仿宋_GBK" w:hAnsi="微软雅黑" w:eastAsia="方正仿宋_GBK" w:cs="方正仿宋_GBK"/>
          <w:sz w:val="32"/>
          <w:szCs w:val="32"/>
        </w:rPr>
        <w:t>人，退休</w:t>
      </w:r>
      <w:r>
        <w:rPr>
          <w:rFonts w:hint="eastAsia" w:ascii="方正仿宋_GBK" w:hAnsi="微软雅黑" w:eastAsia="方正仿宋_GBK" w:cs="方正仿宋_GBK"/>
          <w:sz w:val="32"/>
          <w:szCs w:val="32"/>
          <w:lang w:val="en-US" w:eastAsia="zh-CN"/>
        </w:rPr>
        <w:t>8</w:t>
      </w:r>
      <w:r>
        <w:rPr>
          <w:rFonts w:hint="eastAsia" w:ascii="方正仿宋_GBK" w:hAnsi="微软雅黑" w:eastAsia="方正仿宋_GBK" w:cs="方正仿宋_GBK"/>
          <w:sz w:val="32"/>
          <w:szCs w:val="32"/>
        </w:rPr>
        <w:t>人</w:t>
      </w:r>
      <w:r>
        <w:rPr>
          <w:rFonts w:hint="eastAsia" w:ascii="方正仿宋_GBK" w:hAnsi="微软雅黑" w:eastAsia="方正仿宋_GBK" w:cs="方正仿宋_GBK"/>
          <w:sz w:val="32"/>
          <w:szCs w:val="32"/>
          <w:lang w:eastAsia="zh-CN"/>
        </w:rPr>
        <w:t>。</w:t>
      </w:r>
    </w:p>
    <w:p w14:paraId="08C621FC">
      <w:pPr>
        <w:keepNext w:val="0"/>
        <w:keepLines w:val="0"/>
        <w:pageBreakBefore w:val="0"/>
        <w:kinsoku/>
        <w:wordWrap/>
        <w:overflowPunct/>
        <w:topLinePunct w:val="0"/>
        <w:autoSpaceDN/>
        <w:bidi w:val="0"/>
        <w:adjustRightInd/>
        <w:spacing w:line="59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本单位无下级预算单位。</w:t>
      </w:r>
    </w:p>
    <w:p w14:paraId="1EDB5602">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二、单位决算收支情况说明</w:t>
      </w:r>
    </w:p>
    <w:p w14:paraId="133A3BD3">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（一）收入支出决算总体情况说明</w:t>
      </w:r>
    </w:p>
    <w:p w14:paraId="00F530F0">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0" w:lineRule="exact"/>
        <w:ind w:left="0" w:right="0" w:firstLine="643"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color w:val="000000" w:themeColor="text1"/>
          <w:sz w:val="32"/>
          <w:szCs w:val="32"/>
          <w:shd w:val="clear" w:color="auto" w:fill="FFFFFF"/>
        </w:rPr>
        <w:t>2024年度收入总计1077.20万元，支出总计1077.20万元</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收支</w:t>
      </w:r>
      <w:r>
        <w:rPr>
          <w:rFonts w:hint="eastAsia" w:ascii="方正仿宋_GBK" w:hAnsi="方正仿宋_GBK" w:eastAsia="方正仿宋_GBK" w:cs="方正仿宋_GBK"/>
          <w:color w:val="auto"/>
          <w:sz w:val="32"/>
          <w:szCs w:val="32"/>
          <w:shd w:val="clear" w:color="auto" w:fill="FFFFFF"/>
          <w:lang w:eastAsia="zh-CN"/>
        </w:rPr>
        <w:t>总额</w:t>
      </w:r>
      <w:r>
        <w:rPr>
          <w:rFonts w:ascii="方正仿宋_GBK" w:hAnsi="方正仿宋_GBK" w:eastAsia="方正仿宋_GBK" w:cs="方正仿宋_GBK"/>
          <w:color w:val="auto"/>
          <w:sz w:val="32"/>
          <w:szCs w:val="32"/>
          <w:shd w:val="clear" w:color="auto" w:fill="FFFFFF"/>
        </w:rPr>
        <w:t>与2023年度相比</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方正仿宋_GBK" w:hAnsi="方正仿宋_GBK" w:eastAsia="方正仿宋_GBK" w:cs="方正仿宋_GBK"/>
          <w:color w:val="auto"/>
          <w:sz w:val="32"/>
          <w:szCs w:val="32"/>
          <w:lang w:val="en-US" w:eastAsia="zh-CN"/>
        </w:rPr>
        <w:t>23.49万</w:t>
      </w:r>
      <w:r>
        <w:rPr>
          <w:rFonts w:hint="eastAsia" w:ascii="方正仿宋_GBK" w:hAnsi="方正仿宋_GBK" w:eastAsia="方正仿宋_GBK" w:cs="方正仿宋_GBK"/>
          <w:color w:val="auto"/>
          <w:sz w:val="32"/>
          <w:szCs w:val="32"/>
        </w:rPr>
        <w:t>元，增</w:t>
      </w:r>
      <w:r>
        <w:rPr>
          <w:rFonts w:hint="eastAsia" w:ascii="方正仿宋_GBK" w:hAnsi="方正仿宋_GBK" w:eastAsia="方正仿宋_GBK" w:cs="方正仿宋_GBK"/>
          <w:color w:val="auto"/>
          <w:sz w:val="32"/>
          <w:szCs w:val="32"/>
          <w:lang w:eastAsia="zh-CN"/>
        </w:rPr>
        <w:t>长</w:t>
      </w:r>
      <w:r>
        <w:rPr>
          <w:rFonts w:hint="eastAsia" w:ascii="方正仿宋_GBK" w:hAnsi="方正仿宋_GBK" w:eastAsia="方正仿宋_GBK" w:cs="方正仿宋_GBK"/>
          <w:color w:val="auto"/>
          <w:sz w:val="32"/>
          <w:szCs w:val="32"/>
          <w:lang w:val="en-US" w:eastAsia="zh-CN"/>
        </w:rPr>
        <w:t>2.23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shd w:val="clear" w:color="auto" w:fill="FFFFFF"/>
          <w:lang w:val="en-US" w:eastAsia="zh-CN"/>
        </w:rPr>
        <w:t>。主要原因是2024年收入增加157.4万元，年初结转和结余减少了133.91万元。</w:t>
      </w:r>
    </w:p>
    <w:p w14:paraId="51372A96">
      <w:pPr>
        <w:pStyle w:val="6"/>
        <w:keepNext w:val="0"/>
        <w:keepLines w:val="0"/>
        <w:pageBreakBefore w:val="0"/>
        <w:kinsoku/>
        <w:wordWrap/>
        <w:overflowPunct/>
        <w:topLinePunct w:val="0"/>
        <w:autoSpaceDN/>
        <w:bidi w:val="0"/>
        <w:adjustRightInd/>
        <w:spacing w:before="0" w:beforeAutospacing="0" w:after="0" w:afterAutospacing="0" w:line="590" w:lineRule="exact"/>
        <w:ind w:firstLine="643" w:firstLineChars="200"/>
        <w:textAlignment w:val="auto"/>
        <w:rPr>
          <w:rFonts w:ascii="方正仿宋_GBK" w:hAnsi="方正仿宋_GBK" w:eastAsia="方正仿宋_GBK" w:cs="方正仿宋_GBK"/>
          <w:color w:val="000000"/>
          <w:sz w:val="32"/>
          <w:szCs w:val="32"/>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rPr>
        <w:t>2024年收入总计1077</w:t>
      </w:r>
      <w:r>
        <w:rPr>
          <w:rFonts w:hint="eastAsia" w:ascii="方正仿宋_GBK" w:hAnsi="方正仿宋_GBK" w:eastAsia="方正仿宋_GBK" w:cs="方正仿宋_GBK"/>
          <w:sz w:val="32"/>
          <w:szCs w:val="32"/>
          <w:lang w:val="en-US" w:eastAsia="zh-CN"/>
        </w:rPr>
        <w:t>.20万</w:t>
      </w:r>
      <w:r>
        <w:rPr>
          <w:rFonts w:hint="eastAsia" w:ascii="方正仿宋_GBK" w:hAnsi="方正仿宋_GBK" w:eastAsia="方正仿宋_GBK" w:cs="方正仿宋_GBK"/>
          <w:sz w:val="32"/>
          <w:szCs w:val="32"/>
        </w:rPr>
        <w:t>元，与2023年919</w:t>
      </w:r>
      <w:r>
        <w:rPr>
          <w:rFonts w:hint="eastAsia" w:ascii="方正仿宋_GBK" w:hAnsi="方正仿宋_GBK" w:eastAsia="方正仿宋_GBK" w:cs="方正仿宋_GBK"/>
          <w:sz w:val="32"/>
          <w:szCs w:val="32"/>
          <w:lang w:val="en-US" w:eastAsia="zh-CN"/>
        </w:rPr>
        <w:t>.8万</w:t>
      </w:r>
      <w:r>
        <w:rPr>
          <w:rFonts w:hint="eastAsia" w:ascii="方正仿宋_GBK" w:hAnsi="方正仿宋_GBK" w:eastAsia="方正仿宋_GBK" w:cs="方正仿宋_GBK"/>
          <w:sz w:val="32"/>
          <w:szCs w:val="32"/>
        </w:rPr>
        <w:t>元相比增加157</w:t>
      </w:r>
      <w:r>
        <w:rPr>
          <w:rFonts w:hint="eastAsia" w:ascii="方正仿宋_GBK" w:hAnsi="方正仿宋_GBK" w:eastAsia="方正仿宋_GBK" w:cs="方正仿宋_GBK"/>
          <w:sz w:val="32"/>
          <w:szCs w:val="32"/>
          <w:lang w:val="en-US" w:eastAsia="zh-CN"/>
        </w:rPr>
        <w:t>.4万</w:t>
      </w:r>
      <w:r>
        <w:rPr>
          <w:rFonts w:hint="eastAsia" w:ascii="方正仿宋_GBK" w:hAnsi="方正仿宋_GBK" w:eastAsia="方正仿宋_GBK" w:cs="方正仿宋_GBK"/>
          <w:sz w:val="32"/>
          <w:szCs w:val="32"/>
        </w:rPr>
        <w:t>元，增</w:t>
      </w:r>
      <w:r>
        <w:rPr>
          <w:rFonts w:hint="eastAsia" w:ascii="方正仿宋_GBK" w:hAnsi="方正仿宋_GBK" w:eastAsia="方正仿宋_GBK" w:cs="方正仿宋_GBK"/>
          <w:sz w:val="32"/>
          <w:szCs w:val="32"/>
          <w:lang w:eastAsia="zh-CN"/>
        </w:rPr>
        <w:t>长</w:t>
      </w:r>
      <w:r>
        <w:rPr>
          <w:rFonts w:hint="eastAsia" w:ascii="方正仿宋_GBK" w:hAnsi="方正仿宋_GBK" w:eastAsia="方正仿宋_GBK" w:cs="方正仿宋_GBK"/>
          <w:sz w:val="32"/>
          <w:szCs w:val="32"/>
        </w:rPr>
        <w:t>17.11%。本年收入增加主要</w:t>
      </w:r>
      <w:r>
        <w:rPr>
          <w:rFonts w:hint="eastAsia" w:ascii="方正仿宋_GBK" w:hAnsi="方正仿宋_GBK" w:eastAsia="方正仿宋_GBK" w:cs="方正仿宋_GBK"/>
          <w:sz w:val="32"/>
          <w:szCs w:val="32"/>
          <w:lang w:val="en-US" w:eastAsia="zh-CN"/>
        </w:rPr>
        <w:t>源于</w:t>
      </w:r>
      <w:r>
        <w:rPr>
          <w:rFonts w:hint="eastAsia" w:ascii="方正仿宋_GBK" w:hAnsi="方正仿宋_GBK" w:eastAsia="方正仿宋_GBK" w:cs="方正仿宋_GBK"/>
          <w:sz w:val="32"/>
          <w:szCs w:val="32"/>
        </w:rPr>
        <w:t>财政</w:t>
      </w:r>
      <w:r>
        <w:rPr>
          <w:rFonts w:hint="eastAsia" w:ascii="方正仿宋_GBK" w:hAnsi="方正仿宋_GBK" w:eastAsia="方正仿宋_GBK" w:cs="方正仿宋_GBK"/>
          <w:sz w:val="32"/>
          <w:szCs w:val="32"/>
          <w:lang w:val="en-US" w:eastAsia="zh-CN"/>
        </w:rPr>
        <w:t>拨款</w:t>
      </w:r>
      <w:r>
        <w:rPr>
          <w:rFonts w:hint="eastAsia" w:ascii="方正仿宋_GBK" w:hAnsi="方正仿宋_GBK" w:eastAsia="方正仿宋_GBK" w:cs="方正仿宋_GBK"/>
          <w:sz w:val="32"/>
          <w:szCs w:val="32"/>
        </w:rPr>
        <w:t>增加166</w:t>
      </w:r>
      <w:r>
        <w:rPr>
          <w:rFonts w:hint="eastAsia" w:ascii="方正仿宋_GBK" w:hAnsi="方正仿宋_GBK" w:eastAsia="方正仿宋_GBK" w:cs="方正仿宋_GBK"/>
          <w:sz w:val="32"/>
          <w:szCs w:val="32"/>
          <w:lang w:val="en-US" w:eastAsia="zh-CN"/>
        </w:rPr>
        <w:t>.21万元和</w:t>
      </w:r>
      <w:r>
        <w:rPr>
          <w:rFonts w:hint="eastAsia" w:ascii="方正仿宋_GBK" w:hAnsi="方正仿宋_GBK" w:eastAsia="方正仿宋_GBK" w:cs="方正仿宋_GBK"/>
          <w:sz w:val="32"/>
          <w:szCs w:val="32"/>
        </w:rPr>
        <w:t>事业收入增加24</w:t>
      </w:r>
      <w:r>
        <w:rPr>
          <w:rFonts w:hint="eastAsia" w:ascii="方正仿宋_GBK" w:hAnsi="方正仿宋_GBK" w:eastAsia="方正仿宋_GBK" w:cs="方正仿宋_GBK"/>
          <w:sz w:val="32"/>
          <w:szCs w:val="32"/>
          <w:lang w:val="en-US" w:eastAsia="zh-CN"/>
        </w:rPr>
        <w:t>.91万元</w:t>
      </w:r>
      <w:r>
        <w:rPr>
          <w:rFonts w:hint="eastAsia" w:ascii="方正仿宋_GBK" w:hAnsi="方正仿宋_GBK" w:eastAsia="方正仿宋_GBK" w:cs="方正仿宋_GBK"/>
          <w:sz w:val="32"/>
          <w:szCs w:val="32"/>
        </w:rPr>
        <w:t>，其他收入减少33</w:t>
      </w:r>
      <w:r>
        <w:rPr>
          <w:rFonts w:hint="eastAsia" w:ascii="方正仿宋_GBK" w:hAnsi="方正仿宋_GBK" w:eastAsia="方正仿宋_GBK" w:cs="方正仿宋_GBK"/>
          <w:sz w:val="32"/>
          <w:szCs w:val="32"/>
          <w:lang w:val="en-US" w:eastAsia="zh-CN"/>
        </w:rPr>
        <w:t>.72万元</w:t>
      </w:r>
      <w:r>
        <w:rPr>
          <w:rFonts w:hint="eastAsia" w:ascii="方正仿宋_GBK" w:hAnsi="方正仿宋_GBK" w:eastAsia="方正仿宋_GBK" w:cs="方正仿宋_GBK"/>
          <w:sz w:val="32"/>
          <w:szCs w:val="32"/>
        </w:rPr>
        <w:t>。其中：财政拨款增加166</w:t>
      </w:r>
      <w:r>
        <w:rPr>
          <w:rFonts w:hint="eastAsia" w:ascii="方正仿宋_GBK" w:hAnsi="方正仿宋_GBK" w:eastAsia="方正仿宋_GBK" w:cs="方正仿宋_GBK"/>
          <w:sz w:val="32"/>
          <w:szCs w:val="32"/>
          <w:lang w:val="en-US" w:eastAsia="zh-CN"/>
        </w:rPr>
        <w:t>.21万元</w:t>
      </w:r>
      <w:r>
        <w:rPr>
          <w:rFonts w:hint="eastAsia" w:ascii="方正仿宋_GBK" w:hAnsi="方正仿宋_GBK" w:eastAsia="方正仿宋_GBK" w:cs="方正仿宋_GBK"/>
          <w:sz w:val="32"/>
          <w:szCs w:val="32"/>
        </w:rPr>
        <w:t>，主要</w:t>
      </w:r>
      <w:r>
        <w:rPr>
          <w:rFonts w:hint="eastAsia" w:ascii="方正仿宋_GBK" w:hAnsi="方正仿宋_GBK" w:eastAsia="方正仿宋_GBK" w:cs="方正仿宋_GBK"/>
          <w:sz w:val="32"/>
          <w:szCs w:val="32"/>
          <w:lang w:val="en-US" w:eastAsia="zh-CN"/>
        </w:rPr>
        <w:t>因</w:t>
      </w:r>
      <w:r>
        <w:rPr>
          <w:rFonts w:hint="eastAsia" w:ascii="方正仿宋_GBK" w:hAnsi="方正仿宋_GBK" w:eastAsia="方正仿宋_GBK" w:cs="方正仿宋_GBK"/>
          <w:sz w:val="32"/>
          <w:szCs w:val="32"/>
        </w:rPr>
        <w:t>公卫经费</w:t>
      </w:r>
      <w:r>
        <w:rPr>
          <w:rFonts w:hint="eastAsia" w:ascii="方正仿宋_GBK" w:hAnsi="方正仿宋_GBK" w:eastAsia="方正仿宋_GBK" w:cs="方正仿宋_GBK"/>
          <w:sz w:val="32"/>
          <w:szCs w:val="32"/>
          <w:lang w:val="en-US" w:eastAsia="zh-CN"/>
        </w:rPr>
        <w:t>拨付及</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color w:val="auto"/>
          <w:sz w:val="32"/>
          <w:szCs w:val="32"/>
        </w:rPr>
        <w:t>员</w:t>
      </w:r>
      <w:r>
        <w:rPr>
          <w:rFonts w:hint="eastAsia" w:ascii="方正仿宋_GBK" w:hAnsi="方正仿宋_GBK" w:eastAsia="方正仿宋_GBK" w:cs="方正仿宋_GBK"/>
          <w:color w:val="auto"/>
          <w:sz w:val="32"/>
          <w:szCs w:val="32"/>
          <w:lang w:eastAsia="zh-CN"/>
        </w:rPr>
        <w:t>调资</w:t>
      </w:r>
      <w:r>
        <w:rPr>
          <w:rFonts w:hint="eastAsia" w:ascii="方正仿宋_GBK" w:hAnsi="方正仿宋_GBK" w:eastAsia="方正仿宋_GBK" w:cs="方正仿宋_GBK"/>
          <w:color w:val="auto"/>
          <w:sz w:val="32"/>
          <w:szCs w:val="32"/>
        </w:rPr>
        <w:t>等。事业收入485</w:t>
      </w:r>
      <w:r>
        <w:rPr>
          <w:rFonts w:hint="eastAsia" w:ascii="方正仿宋_GBK" w:hAnsi="方正仿宋_GBK" w:eastAsia="方正仿宋_GBK" w:cs="方正仿宋_GBK"/>
          <w:color w:val="auto"/>
          <w:sz w:val="32"/>
          <w:szCs w:val="32"/>
          <w:lang w:val="en-US" w:eastAsia="zh-CN"/>
        </w:rPr>
        <w:t>.53万元</w:t>
      </w:r>
      <w:r>
        <w:rPr>
          <w:rFonts w:hint="eastAsia" w:ascii="方正仿宋_GBK" w:hAnsi="方正仿宋_GBK" w:eastAsia="方正仿宋_GBK" w:cs="方正仿宋_GBK"/>
          <w:color w:val="auto"/>
          <w:sz w:val="32"/>
          <w:szCs w:val="32"/>
        </w:rPr>
        <w:t>，与2023年460</w:t>
      </w:r>
      <w:r>
        <w:rPr>
          <w:rFonts w:hint="eastAsia" w:ascii="方正仿宋_GBK" w:hAnsi="方正仿宋_GBK" w:eastAsia="方正仿宋_GBK" w:cs="方正仿宋_GBK"/>
          <w:color w:val="auto"/>
          <w:sz w:val="32"/>
          <w:szCs w:val="32"/>
          <w:lang w:val="en-US" w:eastAsia="zh-CN"/>
        </w:rPr>
        <w:t>.61万</w:t>
      </w:r>
      <w:r>
        <w:rPr>
          <w:rFonts w:hint="eastAsia" w:ascii="方正仿宋_GBK" w:hAnsi="方正仿宋_GBK" w:eastAsia="方正仿宋_GBK" w:cs="方正仿宋_GBK"/>
          <w:color w:val="auto"/>
          <w:sz w:val="32"/>
          <w:szCs w:val="32"/>
        </w:rPr>
        <w:t>元相比增加24</w:t>
      </w:r>
      <w:r>
        <w:rPr>
          <w:rFonts w:hint="eastAsia" w:ascii="方正仿宋_GBK" w:hAnsi="方正仿宋_GBK" w:eastAsia="方正仿宋_GBK" w:cs="方正仿宋_GBK"/>
          <w:color w:val="auto"/>
          <w:sz w:val="32"/>
          <w:szCs w:val="32"/>
          <w:lang w:val="en-US" w:eastAsia="zh-CN"/>
        </w:rPr>
        <w:t>.91万</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eastAsia="zh-CN"/>
        </w:rPr>
        <w:t>上升</w:t>
      </w:r>
      <w:r>
        <w:rPr>
          <w:rFonts w:hint="eastAsia" w:ascii="方正仿宋_GBK" w:hAnsi="方正仿宋_GBK" w:eastAsia="方正仿宋_GBK" w:cs="方正仿宋_GBK"/>
          <w:color w:val="auto"/>
          <w:sz w:val="32"/>
          <w:szCs w:val="32"/>
        </w:rPr>
        <w:t>5.41%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由于2024年</w:t>
      </w:r>
      <w:r>
        <w:rPr>
          <w:rFonts w:hint="eastAsia" w:ascii="方正仿宋_GBK" w:hAnsi="方正仿宋_GBK" w:eastAsia="方正仿宋_GBK" w:cs="方正仿宋_GBK"/>
          <w:color w:val="auto"/>
          <w:sz w:val="32"/>
          <w:szCs w:val="32"/>
          <w:lang w:val="en-US" w:eastAsia="zh-CN"/>
        </w:rPr>
        <w:t>本单位</w:t>
      </w:r>
      <w:r>
        <w:rPr>
          <w:rFonts w:hint="eastAsia" w:ascii="方正仿宋_GBK" w:hAnsi="方正仿宋_GBK" w:eastAsia="方正仿宋_GBK" w:cs="方正仿宋_GBK"/>
          <w:color w:val="auto"/>
          <w:sz w:val="32"/>
          <w:szCs w:val="32"/>
        </w:rPr>
        <w:t>大力发展业务，事业收入有</w:t>
      </w:r>
      <w:r>
        <w:rPr>
          <w:rFonts w:hint="eastAsia" w:ascii="方正仿宋_GBK" w:hAnsi="方正仿宋_GBK" w:eastAsia="方正仿宋_GBK" w:cs="方正仿宋_GBK"/>
          <w:color w:val="auto"/>
          <w:sz w:val="32"/>
          <w:szCs w:val="32"/>
          <w:lang w:eastAsia="zh-CN"/>
        </w:rPr>
        <w:t>所</w:t>
      </w:r>
      <w:r>
        <w:rPr>
          <w:rFonts w:hint="eastAsia" w:ascii="方正仿宋_GBK" w:hAnsi="方正仿宋_GBK" w:eastAsia="方正仿宋_GBK" w:cs="方正仿宋_GBK"/>
          <w:color w:val="auto"/>
          <w:sz w:val="32"/>
          <w:szCs w:val="32"/>
        </w:rPr>
        <w:t>增加。其他收</w:t>
      </w:r>
      <w:r>
        <w:rPr>
          <w:rFonts w:hint="eastAsia" w:ascii="方正仿宋_GBK" w:hAnsi="方正仿宋_GBK" w:eastAsia="方正仿宋_GBK" w:cs="方正仿宋_GBK"/>
          <w:color w:val="000000"/>
          <w:sz w:val="32"/>
          <w:szCs w:val="32"/>
        </w:rPr>
        <w:t>入25</w:t>
      </w:r>
      <w:r>
        <w:rPr>
          <w:rFonts w:hint="eastAsia" w:ascii="方正仿宋_GBK" w:hAnsi="方正仿宋_GBK" w:eastAsia="方正仿宋_GBK" w:cs="方正仿宋_GBK"/>
          <w:color w:val="000000"/>
          <w:sz w:val="32"/>
          <w:szCs w:val="32"/>
          <w:lang w:val="en-US" w:eastAsia="zh-CN"/>
        </w:rPr>
        <w:t>.39万</w:t>
      </w:r>
      <w:r>
        <w:rPr>
          <w:rFonts w:hint="eastAsia" w:ascii="方正仿宋_GBK" w:hAnsi="方正仿宋_GBK" w:eastAsia="方正仿宋_GBK" w:cs="方正仿宋_GBK"/>
          <w:color w:val="000000"/>
          <w:sz w:val="32"/>
          <w:szCs w:val="32"/>
        </w:rPr>
        <w:t>元，与2023年59</w:t>
      </w:r>
      <w:r>
        <w:rPr>
          <w:rFonts w:hint="eastAsia" w:ascii="方正仿宋_GBK" w:hAnsi="方正仿宋_GBK" w:eastAsia="方正仿宋_GBK" w:cs="方正仿宋_GBK"/>
          <w:color w:val="000000"/>
          <w:sz w:val="32"/>
          <w:szCs w:val="32"/>
          <w:lang w:val="en-US" w:eastAsia="zh-CN"/>
        </w:rPr>
        <w:t>.11万</w:t>
      </w:r>
      <w:r>
        <w:rPr>
          <w:rFonts w:hint="eastAsia" w:ascii="方正仿宋_GBK" w:hAnsi="方正仿宋_GBK" w:eastAsia="方正仿宋_GBK" w:cs="方正仿宋_GBK"/>
          <w:color w:val="000000"/>
          <w:sz w:val="32"/>
          <w:szCs w:val="32"/>
        </w:rPr>
        <w:t>元相比减少</w:t>
      </w:r>
      <w:r>
        <w:rPr>
          <w:rFonts w:hint="eastAsia" w:ascii="方正仿宋_GBK" w:hAnsi="方正仿宋_GBK" w:eastAsia="方正仿宋_GBK" w:cs="方正仿宋_GBK"/>
          <w:color w:val="000000"/>
          <w:sz w:val="32"/>
          <w:szCs w:val="32"/>
          <w:lang w:val="en-US" w:eastAsia="zh-CN"/>
        </w:rPr>
        <w:t>了</w:t>
      </w:r>
      <w:r>
        <w:rPr>
          <w:rFonts w:hint="eastAsia" w:ascii="方正仿宋_GBK" w:hAnsi="方正仿宋_GBK" w:eastAsia="方正仿宋_GBK" w:cs="方正仿宋_GBK"/>
          <w:color w:val="000000"/>
          <w:sz w:val="32"/>
          <w:szCs w:val="32"/>
        </w:rPr>
        <w:t>33</w:t>
      </w:r>
      <w:r>
        <w:rPr>
          <w:rFonts w:hint="eastAsia" w:ascii="方正仿宋_GBK" w:hAnsi="方正仿宋_GBK" w:eastAsia="方正仿宋_GBK" w:cs="方正仿宋_GBK"/>
          <w:color w:val="000000"/>
          <w:sz w:val="32"/>
          <w:szCs w:val="32"/>
          <w:lang w:val="en-US" w:eastAsia="zh-CN"/>
        </w:rPr>
        <w:t>.72万</w:t>
      </w:r>
      <w:r>
        <w:rPr>
          <w:rFonts w:hint="eastAsia" w:ascii="方正仿宋_GBK" w:hAnsi="方正仿宋_GBK" w:eastAsia="方正仿宋_GBK" w:cs="方正仿宋_GBK"/>
          <w:color w:val="000000"/>
          <w:sz w:val="32"/>
          <w:szCs w:val="32"/>
        </w:rPr>
        <w:t>元，</w:t>
      </w:r>
      <w:r>
        <w:rPr>
          <w:rFonts w:hint="eastAsia" w:ascii="方正仿宋_GBK" w:hAnsi="方正仿宋_GBK" w:eastAsia="方正仿宋_GBK" w:cs="方正仿宋_GBK"/>
          <w:color w:val="000000"/>
          <w:sz w:val="32"/>
          <w:szCs w:val="32"/>
          <w:lang w:eastAsia="zh-CN"/>
        </w:rPr>
        <w:t>下降</w:t>
      </w:r>
      <w:r>
        <w:rPr>
          <w:rFonts w:hint="eastAsia" w:ascii="方正仿宋_GBK" w:hAnsi="方正仿宋_GBK" w:eastAsia="方正仿宋_GBK" w:cs="方正仿宋_GBK"/>
          <w:color w:val="000000"/>
          <w:sz w:val="32"/>
          <w:szCs w:val="32"/>
        </w:rPr>
        <w:t>57.04%，</w:t>
      </w:r>
      <w:r>
        <w:rPr>
          <w:rFonts w:hint="eastAsia" w:ascii="方正仿宋_GBK" w:hAnsi="方正仿宋_GBK" w:eastAsia="方正仿宋_GBK" w:cs="方正仿宋_GBK"/>
          <w:color w:val="000000"/>
          <w:sz w:val="32"/>
          <w:szCs w:val="32"/>
          <w:lang w:val="en-US" w:eastAsia="zh-CN"/>
        </w:rPr>
        <w:t>下降</w:t>
      </w:r>
      <w:bookmarkStart w:id="0" w:name="_GoBack"/>
      <w:bookmarkEnd w:id="0"/>
      <w:r>
        <w:rPr>
          <w:rFonts w:hint="eastAsia" w:ascii="方正仿宋_GBK" w:hAnsi="方正仿宋_GBK" w:eastAsia="方正仿宋_GBK" w:cs="方正仿宋_GBK"/>
          <w:color w:val="000000"/>
          <w:sz w:val="32"/>
          <w:szCs w:val="32"/>
        </w:rPr>
        <w:t>的主要原因</w:t>
      </w:r>
      <w:r>
        <w:rPr>
          <w:rFonts w:hint="eastAsia" w:ascii="方正仿宋_GBK" w:hAnsi="方正仿宋_GBK" w:eastAsia="方正仿宋_GBK" w:cs="方正仿宋_GBK"/>
          <w:color w:val="000000"/>
          <w:sz w:val="32"/>
          <w:szCs w:val="32"/>
          <w:lang w:val="en-US" w:eastAsia="zh-CN"/>
        </w:rPr>
        <w:t>是</w:t>
      </w:r>
      <w:r>
        <w:rPr>
          <w:rFonts w:hint="eastAsia" w:ascii="方正仿宋_GBK" w:hAnsi="方正仿宋_GBK" w:eastAsia="方正仿宋_GBK" w:cs="方正仿宋_GBK"/>
          <w:color w:val="000000"/>
          <w:sz w:val="32"/>
          <w:szCs w:val="32"/>
        </w:rPr>
        <w:t>2023年其他收入中收到本级横向财政转拨款较多。</w:t>
      </w:r>
    </w:p>
    <w:p w14:paraId="162DB455">
      <w:pPr>
        <w:pStyle w:val="17"/>
        <w:keepNext w:val="0"/>
        <w:keepLines w:val="0"/>
        <w:pageBreakBefore w:val="0"/>
        <w:kinsoku/>
        <w:wordWrap/>
        <w:overflowPunct/>
        <w:topLinePunct w:val="0"/>
        <w:autoSpaceDN/>
        <w:bidi w:val="0"/>
        <w:adjustRightInd/>
        <w:spacing w:line="590" w:lineRule="exact"/>
        <w:ind w:left="0" w:leftChars="0" w:firstLine="643" w:firstLineChars="200"/>
        <w:textAlignment w:val="auto"/>
        <w:rPr>
          <w:rFonts w:hint="eastAsia"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rPr>
        <w:t>2024年支出总计1043</w:t>
      </w:r>
      <w:r>
        <w:rPr>
          <w:rFonts w:hint="eastAsia" w:ascii="方正仿宋_GBK" w:hAnsi="方正仿宋_GBK" w:eastAsia="方正仿宋_GBK" w:cs="方正仿宋_GBK"/>
          <w:sz w:val="32"/>
          <w:szCs w:val="32"/>
          <w:lang w:val="en-US" w:eastAsia="zh-CN"/>
        </w:rPr>
        <w:t>.71万</w:t>
      </w:r>
      <w:r>
        <w:rPr>
          <w:rFonts w:hint="eastAsia" w:ascii="方正仿宋_GBK" w:hAnsi="方正仿宋_GBK" w:eastAsia="方正仿宋_GBK" w:cs="方正仿宋_GBK"/>
          <w:sz w:val="32"/>
          <w:szCs w:val="32"/>
        </w:rPr>
        <w:t>元，与2023年1053</w:t>
      </w:r>
      <w:r>
        <w:rPr>
          <w:rFonts w:hint="eastAsia" w:ascii="方正仿宋_GBK" w:hAnsi="方正仿宋_GBK" w:eastAsia="方正仿宋_GBK" w:cs="方正仿宋_GBK"/>
          <w:sz w:val="32"/>
          <w:szCs w:val="32"/>
          <w:lang w:val="en-US" w:eastAsia="zh-CN"/>
        </w:rPr>
        <w:t>.71万</w:t>
      </w:r>
      <w:r>
        <w:rPr>
          <w:rFonts w:hint="eastAsia" w:ascii="方正仿宋_GBK" w:hAnsi="方正仿宋_GBK" w:eastAsia="方正仿宋_GBK" w:cs="方正仿宋_GBK"/>
          <w:sz w:val="32"/>
          <w:szCs w:val="32"/>
        </w:rPr>
        <w:t>元相比减少10</w:t>
      </w:r>
      <w:r>
        <w:rPr>
          <w:rFonts w:hint="eastAsia" w:ascii="方正仿宋_GBK" w:hAnsi="方正仿宋_GBK" w:eastAsia="方正仿宋_GBK" w:cs="方正仿宋_GBK"/>
          <w:sz w:val="32"/>
          <w:szCs w:val="32"/>
          <w:lang w:val="en-US" w:eastAsia="zh-CN"/>
        </w:rPr>
        <w:t>.00万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下</w:t>
      </w:r>
      <w:r>
        <w:rPr>
          <w:rFonts w:hint="eastAsia" w:ascii="方正仿宋_GBK" w:hAnsi="方正仿宋_GBK" w:eastAsia="方正仿宋_GBK" w:cs="方正仿宋_GBK"/>
          <w:sz w:val="32"/>
          <w:szCs w:val="32"/>
        </w:rPr>
        <w:t>降0.95%</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末</w:t>
      </w:r>
      <w:r>
        <w:rPr>
          <w:rFonts w:hint="eastAsia" w:ascii="方正仿宋_GBK" w:hAnsi="方正仿宋_GBK" w:eastAsia="方正仿宋_GBK" w:cs="方正仿宋_GBK"/>
          <w:sz w:val="32"/>
          <w:szCs w:val="32"/>
          <w:lang w:eastAsia="zh-CN"/>
        </w:rPr>
        <w:t>结余分配</w:t>
      </w:r>
      <w:r>
        <w:rPr>
          <w:rFonts w:hint="eastAsia" w:ascii="方正仿宋_GBK" w:hAnsi="方正仿宋_GBK" w:eastAsia="方正仿宋_GBK" w:cs="方正仿宋_GBK"/>
          <w:sz w:val="32"/>
          <w:szCs w:val="32"/>
          <w:lang w:val="en-US" w:eastAsia="zh-CN"/>
        </w:rPr>
        <w:t>33.49万元。</w:t>
      </w:r>
      <w:r>
        <w:rPr>
          <w:rFonts w:hint="eastAsia" w:ascii="方正仿宋_GBK" w:hAnsi="方正仿宋_GBK" w:eastAsia="方正仿宋_GBK" w:cs="方正仿宋_GBK"/>
          <w:sz w:val="32"/>
          <w:szCs w:val="32"/>
        </w:rPr>
        <w:t>其中：基本支出875</w:t>
      </w:r>
      <w:r>
        <w:rPr>
          <w:rFonts w:hint="eastAsia" w:ascii="方正仿宋_GBK" w:hAnsi="方正仿宋_GBK" w:eastAsia="方正仿宋_GBK" w:cs="方正仿宋_GBK"/>
          <w:sz w:val="32"/>
          <w:szCs w:val="32"/>
          <w:lang w:val="en-US" w:eastAsia="zh-CN"/>
        </w:rPr>
        <w:t>.61万</w:t>
      </w:r>
      <w:r>
        <w:rPr>
          <w:rFonts w:hint="eastAsia" w:ascii="方正仿宋_GBK" w:hAnsi="方正仿宋_GBK" w:eastAsia="方正仿宋_GBK" w:cs="方正仿宋_GBK"/>
          <w:sz w:val="32"/>
          <w:szCs w:val="32"/>
        </w:rPr>
        <w:t>元，与2023年867</w:t>
      </w:r>
      <w:r>
        <w:rPr>
          <w:rFonts w:hint="eastAsia" w:ascii="方正仿宋_GBK" w:hAnsi="方正仿宋_GBK" w:eastAsia="方正仿宋_GBK" w:cs="方正仿宋_GBK"/>
          <w:sz w:val="32"/>
          <w:szCs w:val="32"/>
          <w:lang w:val="en-US" w:eastAsia="zh-CN"/>
        </w:rPr>
        <w:t>.57万</w:t>
      </w:r>
      <w:r>
        <w:rPr>
          <w:rFonts w:hint="eastAsia" w:ascii="方正仿宋_GBK" w:hAnsi="方正仿宋_GBK" w:eastAsia="方正仿宋_GBK" w:cs="方正仿宋_GBK"/>
          <w:sz w:val="32"/>
          <w:szCs w:val="32"/>
        </w:rPr>
        <w:t>元相比增加8</w:t>
      </w:r>
      <w:r>
        <w:rPr>
          <w:rFonts w:hint="eastAsia" w:ascii="方正仿宋_GBK" w:hAnsi="方正仿宋_GBK" w:eastAsia="方正仿宋_GBK" w:cs="方正仿宋_GBK"/>
          <w:sz w:val="32"/>
          <w:szCs w:val="32"/>
          <w:lang w:val="en-US" w:eastAsia="zh-CN"/>
        </w:rPr>
        <w:t>.04万元</w:t>
      </w:r>
      <w:r>
        <w:rPr>
          <w:rFonts w:hint="eastAsia" w:ascii="方正仿宋_GBK" w:hAnsi="方正仿宋_GBK" w:eastAsia="方正仿宋_GBK" w:cs="方正仿宋_GBK"/>
          <w:sz w:val="32"/>
          <w:szCs w:val="32"/>
        </w:rPr>
        <w:t>。基本支出中人员经费</w:t>
      </w:r>
      <w:r>
        <w:rPr>
          <w:rFonts w:hint="eastAsia" w:ascii="方正仿宋_GBK" w:hAnsi="方正仿宋_GBK" w:eastAsia="方正仿宋_GBK" w:cs="方正仿宋_GBK"/>
          <w:sz w:val="32"/>
          <w:szCs w:val="32"/>
          <w:lang w:val="en-US" w:eastAsia="zh-CN"/>
        </w:rPr>
        <w:t>657.04万</w:t>
      </w:r>
      <w:r>
        <w:rPr>
          <w:rFonts w:hint="eastAsia" w:ascii="方正仿宋_GBK" w:hAnsi="方正仿宋_GBK" w:eastAsia="方正仿宋_GBK" w:cs="方正仿宋_GBK"/>
          <w:sz w:val="32"/>
          <w:szCs w:val="32"/>
        </w:rPr>
        <w:t>元，较2023年</w:t>
      </w:r>
      <w:r>
        <w:rPr>
          <w:rFonts w:hint="eastAsia" w:ascii="方正仿宋_GBK" w:hAnsi="方正仿宋_GBK" w:eastAsia="方正仿宋_GBK" w:cs="方正仿宋_GBK"/>
          <w:sz w:val="32"/>
          <w:szCs w:val="32"/>
          <w:lang w:val="en-US" w:eastAsia="zh-CN"/>
        </w:rPr>
        <w:t>681.44万</w:t>
      </w:r>
      <w:r>
        <w:rPr>
          <w:rFonts w:hint="eastAsia" w:ascii="方正仿宋_GBK" w:hAnsi="方正仿宋_GBK" w:eastAsia="方正仿宋_GBK" w:cs="方正仿宋_GBK"/>
          <w:sz w:val="32"/>
          <w:szCs w:val="32"/>
        </w:rPr>
        <w:t>元减少</w:t>
      </w:r>
      <w:r>
        <w:rPr>
          <w:rFonts w:hint="eastAsia" w:ascii="方正仿宋_GBK" w:hAnsi="方正仿宋_GBK" w:eastAsia="方正仿宋_GBK" w:cs="方正仿宋_GBK"/>
          <w:sz w:val="32"/>
          <w:szCs w:val="32"/>
          <w:lang w:val="en-US" w:eastAsia="zh-CN"/>
        </w:rPr>
        <w:t>24.40万</w:t>
      </w:r>
      <w:r>
        <w:rPr>
          <w:rFonts w:hint="eastAsia" w:ascii="方正仿宋_GBK" w:hAnsi="方正仿宋_GBK" w:eastAsia="方正仿宋_GBK" w:cs="方正仿宋_GBK"/>
          <w:sz w:val="32"/>
          <w:szCs w:val="32"/>
        </w:rPr>
        <w:t>元，下降3.</w:t>
      </w:r>
      <w:r>
        <w:rPr>
          <w:rFonts w:hint="eastAsia" w:ascii="方正仿宋_GBK" w:hAnsi="方正仿宋_GBK" w:eastAsia="方正仿宋_GBK" w:cs="方正仿宋_GBK"/>
          <w:sz w:val="32"/>
          <w:szCs w:val="32"/>
          <w:lang w:val="en-US" w:eastAsia="zh-CN"/>
        </w:rPr>
        <w:t>58</w:t>
      </w:r>
      <w:r>
        <w:rPr>
          <w:rFonts w:hint="eastAsia" w:ascii="方正仿宋_GBK" w:hAnsi="方正仿宋_GBK" w:eastAsia="方正仿宋_GBK" w:cs="方正仿宋_GBK"/>
          <w:sz w:val="32"/>
          <w:szCs w:val="32"/>
        </w:rPr>
        <w:t>%，下降的主要原因</w:t>
      </w:r>
      <w:r>
        <w:rPr>
          <w:rFonts w:hint="eastAsia" w:ascii="方正仿宋_GBK" w:hAnsi="方正仿宋_GBK" w:eastAsia="方正仿宋_GBK" w:cs="方正仿宋_GBK"/>
          <w:sz w:val="32"/>
          <w:szCs w:val="32"/>
          <w:lang w:val="en-US" w:eastAsia="zh-CN"/>
        </w:rPr>
        <w:t>是</w:t>
      </w:r>
      <w:r>
        <w:rPr>
          <w:rFonts w:hint="eastAsia" w:ascii="方正仿宋_GBK" w:hAnsi="方正仿宋_GBK" w:eastAsia="方正仿宋_GBK" w:cs="方正仿宋_GBK"/>
          <w:sz w:val="32"/>
          <w:szCs w:val="32"/>
        </w:rPr>
        <w:t>2023年补发了2020-2022年超额绩效。基本支出中日常公用经费</w:t>
      </w:r>
      <w:r>
        <w:rPr>
          <w:rFonts w:hint="eastAsia" w:ascii="方正仿宋_GBK" w:hAnsi="方正仿宋_GBK" w:eastAsia="方正仿宋_GBK" w:cs="方正仿宋_GBK"/>
          <w:sz w:val="32"/>
          <w:szCs w:val="32"/>
          <w:lang w:val="en-US" w:eastAsia="zh-CN"/>
        </w:rPr>
        <w:t>218.58万</w:t>
      </w:r>
      <w:r>
        <w:rPr>
          <w:rFonts w:hint="eastAsia" w:ascii="方正仿宋_GBK" w:hAnsi="方正仿宋_GBK" w:eastAsia="方正仿宋_GBK" w:cs="方正仿宋_GBK"/>
          <w:sz w:val="32"/>
          <w:szCs w:val="32"/>
        </w:rPr>
        <w:t>元，较2023年</w:t>
      </w:r>
      <w:r>
        <w:rPr>
          <w:rFonts w:hint="eastAsia" w:ascii="方正仿宋_GBK" w:hAnsi="方正仿宋_GBK" w:eastAsia="方正仿宋_GBK" w:cs="方正仿宋_GBK"/>
          <w:sz w:val="32"/>
          <w:szCs w:val="32"/>
          <w:lang w:val="en-US" w:eastAsia="zh-CN"/>
        </w:rPr>
        <w:t>186.13万</w:t>
      </w:r>
      <w:r>
        <w:rPr>
          <w:rFonts w:hint="eastAsia" w:ascii="方正仿宋_GBK" w:hAnsi="方正仿宋_GBK" w:eastAsia="方正仿宋_GBK" w:cs="方正仿宋_GBK"/>
          <w:sz w:val="32"/>
          <w:szCs w:val="32"/>
        </w:rPr>
        <w:t>元增加</w:t>
      </w:r>
      <w:r>
        <w:rPr>
          <w:rFonts w:hint="eastAsia" w:ascii="方正仿宋_GBK" w:hAnsi="方正仿宋_GBK" w:eastAsia="方正仿宋_GBK" w:cs="方正仿宋_GBK"/>
          <w:sz w:val="32"/>
          <w:szCs w:val="32"/>
          <w:lang w:val="en-US" w:eastAsia="zh-CN"/>
        </w:rPr>
        <w:t>32.44万</w:t>
      </w:r>
      <w:r>
        <w:rPr>
          <w:rFonts w:hint="eastAsia" w:ascii="方正仿宋_GBK" w:hAnsi="方正仿宋_GBK" w:eastAsia="方正仿宋_GBK" w:cs="方正仿宋_GBK"/>
          <w:sz w:val="32"/>
          <w:szCs w:val="32"/>
        </w:rPr>
        <w:t>元，增长</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.43%，增加的主要原因</w:t>
      </w:r>
      <w:r>
        <w:rPr>
          <w:rFonts w:hint="eastAsia" w:ascii="方正仿宋_GBK" w:hAnsi="方正仿宋_GBK" w:eastAsia="方正仿宋_GBK" w:cs="方正仿宋_GBK"/>
          <w:sz w:val="32"/>
          <w:szCs w:val="32"/>
          <w:lang w:val="en-US" w:eastAsia="zh-CN"/>
        </w:rPr>
        <w:t>是</w:t>
      </w:r>
      <w:r>
        <w:rPr>
          <w:rFonts w:hint="eastAsia" w:ascii="方正仿宋_GBK" w:hAnsi="方正仿宋_GBK" w:eastAsia="方正仿宋_GBK" w:cs="方正仿宋_GBK"/>
          <w:sz w:val="32"/>
          <w:szCs w:val="32"/>
        </w:rPr>
        <w:t>2024年委托业务费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工会经费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职工福利费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其他商品服务支出等费用项目比2023年度增加较多。</w:t>
      </w:r>
    </w:p>
    <w:p w14:paraId="340891E3">
      <w:pPr>
        <w:pStyle w:val="17"/>
        <w:keepNext w:val="0"/>
        <w:keepLines w:val="0"/>
        <w:pageBreakBefore w:val="0"/>
        <w:kinsoku/>
        <w:wordWrap/>
        <w:overflowPunct/>
        <w:topLinePunct w:val="0"/>
        <w:autoSpaceDN/>
        <w:bidi w:val="0"/>
        <w:adjustRightInd/>
        <w:spacing w:line="590" w:lineRule="exact"/>
        <w:ind w:left="0" w:leftChars="0" w:firstLine="640" w:firstLineChars="200"/>
        <w:textAlignment w:val="auto"/>
        <w:rPr>
          <w:rFonts w:hint="eastAsia" w:ascii="方正仿宋_GBK" w:hAnsi="方正仿宋_GBK" w:eastAsia="方正仿宋_GBK" w:cs="方正仿宋_GBK"/>
          <w:b w:val="0"/>
          <w:bCs w:val="0"/>
          <w:color w:val="000000" w:themeColor="text1"/>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项目支出</w:t>
      </w:r>
      <w:r>
        <w:rPr>
          <w:rFonts w:hint="eastAsia" w:ascii="方正仿宋_GBK" w:hAnsi="方正仿宋_GBK" w:eastAsia="方正仿宋_GBK" w:cs="方正仿宋_GBK"/>
          <w:color w:val="auto"/>
          <w:sz w:val="32"/>
          <w:szCs w:val="32"/>
          <w:highlight w:val="none"/>
          <w:shd w:val="clear" w:color="auto" w:fill="FFFFFF"/>
          <w:lang w:eastAsia="zh-CN"/>
        </w:rPr>
        <w:t>增加</w:t>
      </w:r>
      <w:r>
        <w:rPr>
          <w:rFonts w:hint="eastAsia" w:ascii="方正仿宋_GBK" w:hAnsi="方正仿宋_GBK" w:eastAsia="方正仿宋_GBK" w:cs="方正仿宋_GBK"/>
          <w:color w:val="auto"/>
          <w:sz w:val="32"/>
          <w:szCs w:val="32"/>
          <w:highlight w:val="none"/>
          <w:shd w:val="clear" w:color="auto" w:fill="FFFFFF"/>
          <w:lang w:val="en-US" w:eastAsia="zh-CN"/>
        </w:rPr>
        <w:t>41.25万元，</w:t>
      </w:r>
      <w:r>
        <w:rPr>
          <w:rFonts w:hint="eastAsia" w:ascii="方正仿宋_GBK" w:hAnsi="方正仿宋_GBK" w:eastAsia="方正仿宋_GBK" w:cs="方正仿宋_GBK"/>
          <w:color w:val="auto"/>
          <w:sz w:val="32"/>
          <w:szCs w:val="32"/>
          <w:highlight w:val="none"/>
          <w:shd w:val="clear" w:color="auto" w:fill="FFFFFF"/>
        </w:rPr>
        <w:t>主要是</w:t>
      </w:r>
      <w:r>
        <w:rPr>
          <w:rFonts w:hint="eastAsia" w:ascii="方正仿宋_GBK" w:hAnsi="方正仿宋_GBK" w:eastAsia="方正仿宋_GBK" w:cs="方正仿宋_GBK"/>
          <w:color w:val="auto"/>
          <w:sz w:val="32"/>
          <w:szCs w:val="32"/>
          <w:highlight w:val="none"/>
          <w:shd w:val="clear" w:color="auto" w:fill="FFFFFF"/>
          <w:lang w:val="en-US" w:eastAsia="zh-CN"/>
        </w:rPr>
        <w:t>由于2024年公卫项目支出增加89.87万元，同时社会保障和</w:t>
      </w:r>
      <w:r>
        <w:rPr>
          <w:rFonts w:hint="eastAsia" w:ascii="方正仿宋_GBK" w:hAnsi="方正仿宋_GBK" w:eastAsia="方正仿宋_GBK" w:cs="方正仿宋_GBK"/>
          <w:color w:val="000000" w:themeColor="text1"/>
          <w:sz w:val="32"/>
          <w:szCs w:val="32"/>
          <w:highlight w:val="none"/>
          <w:shd w:val="clear" w:color="auto" w:fill="FFFFFF"/>
          <w:lang w:val="en-US" w:eastAsia="zh-CN"/>
        </w:rPr>
        <w:t>就业支出减少4.65万元，卫生健康支出减少43.97万元等因素共同影响。</w:t>
      </w:r>
    </w:p>
    <w:p w14:paraId="2D17BD14">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000000" w:themeColor="text1"/>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color w:val="000000" w:themeColor="text1"/>
          <w:sz w:val="32"/>
          <w:szCs w:val="32"/>
          <w:highlight w:val="none"/>
          <w:shd w:val="clear" w:color="auto" w:fill="FFFFFF"/>
        </w:rPr>
        <w:t>政府性基金</w:t>
      </w:r>
      <w:r>
        <w:rPr>
          <w:rFonts w:hint="eastAsia" w:ascii="方正仿宋_GBK" w:hAnsi="方正仿宋_GBK" w:eastAsia="方正仿宋_GBK" w:cs="方正仿宋_GBK"/>
          <w:b w:val="0"/>
          <w:bCs w:val="0"/>
          <w:color w:val="000000" w:themeColor="text1"/>
          <w:sz w:val="32"/>
          <w:szCs w:val="32"/>
          <w:highlight w:val="none"/>
          <w:shd w:val="clear" w:color="auto" w:fill="FFFFFF"/>
          <w:lang w:eastAsia="zh-CN"/>
        </w:rPr>
        <w:t>减少</w:t>
      </w:r>
      <w:r>
        <w:rPr>
          <w:rFonts w:hint="eastAsia" w:ascii="方正仿宋_GBK" w:hAnsi="方正仿宋_GBK" w:eastAsia="方正仿宋_GBK" w:cs="方正仿宋_GBK"/>
          <w:b w:val="0"/>
          <w:bCs w:val="0"/>
          <w:color w:val="000000" w:themeColor="text1"/>
          <w:sz w:val="32"/>
          <w:szCs w:val="32"/>
          <w:highlight w:val="none"/>
          <w:shd w:val="clear" w:color="auto" w:fill="FFFFFF"/>
          <w:lang w:val="en-US" w:eastAsia="zh-CN"/>
        </w:rPr>
        <w:t>59.29万元，主要是2024年无政府性基金支出。</w:t>
      </w:r>
    </w:p>
    <w:p w14:paraId="13792F10">
      <w:pPr>
        <w:pStyle w:val="6"/>
        <w:keepNext w:val="0"/>
        <w:keepLines w:val="0"/>
        <w:pageBreakBefore w:val="0"/>
        <w:kinsoku/>
        <w:wordWrap/>
        <w:overflowPunct/>
        <w:topLinePunct w:val="0"/>
        <w:autoSpaceDN/>
        <w:bidi w:val="0"/>
        <w:adjustRightInd/>
        <w:snapToGrid w:val="0"/>
        <w:spacing w:before="0" w:beforeAutospacing="0" w:after="0" w:afterAutospacing="0" w:line="590" w:lineRule="exact"/>
        <w:ind w:firstLine="643" w:firstLineChars="200"/>
        <w:jc w:val="both"/>
        <w:textAlignment w:val="auto"/>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w:t>
      </w:r>
      <w:r>
        <w:rPr>
          <w:rFonts w:ascii="方正仿宋_GBK" w:hAnsi="方正仿宋_GBK" w:eastAsia="方正仿宋_GBK" w:cs="方正仿宋_GBK"/>
          <w:sz w:val="32"/>
          <w:szCs w:val="32"/>
          <w:highlight w:val="none"/>
          <w:shd w:val="clear" w:color="auto" w:fill="FFFFFF"/>
        </w:rPr>
        <w:t>23年度相比，无增减</w:t>
      </w:r>
      <w:r>
        <w:rPr>
          <w:rFonts w:hint="eastAsia" w:ascii="方正仿宋_GBK" w:hAnsi="方正仿宋_GBK" w:eastAsia="方正仿宋_GBK" w:cs="方正仿宋_GBK"/>
          <w:sz w:val="32"/>
          <w:szCs w:val="32"/>
          <w:highlight w:val="none"/>
          <w:shd w:val="clear" w:color="auto" w:fill="FFFFFF"/>
          <w:lang w:eastAsia="zh-CN"/>
        </w:rPr>
        <w:t>。</w:t>
      </w:r>
    </w:p>
    <w:p w14:paraId="24199A5E">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（二）财政拨款收入支出决算总体情况说明</w:t>
      </w:r>
    </w:p>
    <w:p w14:paraId="23ACC31F">
      <w:pPr>
        <w:pStyle w:val="11"/>
        <w:keepNext w:val="0"/>
        <w:keepLines w:val="0"/>
        <w:pageBreakBefore w:val="0"/>
        <w:kinsoku/>
        <w:wordWrap/>
        <w:overflowPunct/>
        <w:topLinePunct w:val="0"/>
        <w:autoSpaceDE w:val="0"/>
        <w:autoSpaceDN/>
        <w:bidi w:val="0"/>
        <w:adjustRightIn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2024年度财政拨款收、支总计566.28万元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与2023年相比，财政拨款收、支总计各增加83.07万元，增长17.2</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rPr>
        <w:t>是今年基本公卫项目经费和人员</w:t>
      </w:r>
      <w:r>
        <w:rPr>
          <w:rFonts w:hint="eastAsia" w:ascii="方正仿宋_GBK" w:hAnsi="方正仿宋_GBK" w:eastAsia="方正仿宋_GBK" w:cs="方正仿宋_GBK"/>
          <w:color w:val="000000" w:themeColor="text1"/>
          <w:sz w:val="32"/>
          <w:szCs w:val="32"/>
          <w:lang w:eastAsia="zh-CN"/>
        </w:rPr>
        <w:t>调资增资、基础绩效、社保基数经费等</w:t>
      </w:r>
      <w:r>
        <w:rPr>
          <w:rFonts w:hint="eastAsia" w:ascii="方正仿宋_GBK" w:hAnsi="方正仿宋_GBK" w:eastAsia="方正仿宋_GBK" w:cs="方正仿宋_GBK"/>
          <w:color w:val="000000" w:themeColor="text1"/>
          <w:sz w:val="32"/>
          <w:szCs w:val="32"/>
        </w:rPr>
        <w:t>增加</w:t>
      </w:r>
      <w:r>
        <w:rPr>
          <w:rFonts w:hint="eastAsia" w:ascii="方正仿宋_GBK" w:hAnsi="方正仿宋_GBK" w:eastAsia="方正仿宋_GBK" w:cs="方正仿宋_GBK"/>
          <w:color w:val="000000" w:themeColor="text1"/>
          <w:sz w:val="32"/>
          <w:szCs w:val="32"/>
          <w:lang w:eastAsia="zh-CN"/>
        </w:rPr>
        <w:t>。</w:t>
      </w:r>
      <w:r>
        <w:rPr>
          <w:rFonts w:hint="eastAsia" w:ascii="方正仿宋_GBK" w:hAnsi="方正仿宋_GBK" w:eastAsia="方正仿宋_GBK" w:cs="方正仿宋_GBK"/>
          <w:color w:val="000000" w:themeColor="text1"/>
          <w:sz w:val="32"/>
          <w:szCs w:val="32"/>
          <w:lang w:val="en-US" w:eastAsia="zh-CN"/>
        </w:rPr>
        <w:t>2024年无年初结</w:t>
      </w:r>
      <w:r>
        <w:rPr>
          <w:rFonts w:hint="eastAsia" w:ascii="方正仿宋_GBK" w:hAnsi="方正仿宋_GBK" w:eastAsia="方正仿宋_GBK" w:cs="方正仿宋_GBK"/>
          <w:sz w:val="32"/>
          <w:szCs w:val="32"/>
          <w:lang w:val="en-US" w:eastAsia="zh-CN"/>
        </w:rPr>
        <w:t>转结余</w:t>
      </w:r>
      <w:r>
        <w:rPr>
          <w:rFonts w:hint="eastAsia" w:ascii="方正仿宋_GBK" w:hAnsi="方正仿宋_GBK" w:eastAsia="方正仿宋_GBK" w:cs="方正仿宋_GBK"/>
          <w:sz w:val="32"/>
          <w:szCs w:val="32"/>
        </w:rPr>
        <w:t>。</w:t>
      </w:r>
    </w:p>
    <w:p w14:paraId="5AE7B00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（三）一般公共预算财政拨款收入支出决算情况说明</w:t>
      </w:r>
    </w:p>
    <w:p w14:paraId="6C16707B">
      <w:pPr>
        <w:pStyle w:val="6"/>
        <w:keepNext w:val="0"/>
        <w:keepLines w:val="0"/>
        <w:pageBreakBefore w:val="0"/>
        <w:kinsoku/>
        <w:wordWrap/>
        <w:overflowPunct/>
        <w:topLinePunct w:val="0"/>
        <w:autoSpaceDN/>
        <w:bidi w:val="0"/>
        <w:adjustRightInd/>
        <w:snapToGrid w:val="0"/>
        <w:spacing w:before="0" w:beforeAutospacing="0" w:after="0" w:afterAutospacing="0" w:line="59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566.28</w:t>
      </w:r>
      <w:r>
        <w:rPr>
          <w:rFonts w:ascii="方正仿宋_GBK" w:hAnsi="方正仿宋_GBK" w:eastAsia="方正仿宋_GBK" w:cs="方正仿宋_GBK"/>
          <w:sz w:val="32"/>
          <w:szCs w:val="32"/>
          <w:shd w:val="clear" w:color="auto" w:fill="FFFFFF"/>
        </w:rPr>
        <w:t>万元，与2023年度相比，增加166.21万元，增长41.6</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2024年财政</w:t>
      </w:r>
      <w:r>
        <w:rPr>
          <w:rFonts w:hint="eastAsia" w:ascii="方正仿宋_GBK" w:hAnsi="方正仿宋_GBK" w:eastAsia="方正仿宋_GBK" w:cs="方正仿宋_GBK"/>
          <w:sz w:val="32"/>
          <w:szCs w:val="32"/>
          <w:lang w:val="en-US" w:eastAsia="zh-CN"/>
        </w:rPr>
        <w:t>拨款</w:t>
      </w:r>
      <w:r>
        <w:rPr>
          <w:rFonts w:hint="eastAsia" w:ascii="方正仿宋_GBK" w:hAnsi="方正仿宋_GBK" w:eastAsia="方正仿宋_GBK" w:cs="方正仿宋_GBK"/>
          <w:sz w:val="32"/>
          <w:szCs w:val="32"/>
        </w:rPr>
        <w:t>中</w:t>
      </w:r>
      <w:r>
        <w:rPr>
          <w:rFonts w:hint="eastAsia" w:ascii="方正仿宋_GBK" w:hAnsi="方正仿宋_GBK" w:eastAsia="方正仿宋_GBK" w:cs="方正仿宋_GBK"/>
          <w:sz w:val="32"/>
          <w:szCs w:val="32"/>
          <w:lang w:val="en-US" w:eastAsia="zh-CN"/>
        </w:rPr>
        <w:t>包含了</w:t>
      </w:r>
      <w:r>
        <w:rPr>
          <w:rFonts w:hint="eastAsia" w:ascii="方正仿宋_GBK" w:hAnsi="方正仿宋_GBK" w:eastAsia="方正仿宋_GBK" w:cs="方正仿宋_GBK"/>
          <w:sz w:val="32"/>
          <w:szCs w:val="32"/>
        </w:rPr>
        <w:t>165万元</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基本公卫项目经费，2023年无</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5FCAD1C5">
      <w:pPr>
        <w:pStyle w:val="6"/>
        <w:keepNext w:val="0"/>
        <w:keepLines w:val="0"/>
        <w:pageBreakBefore w:val="0"/>
        <w:kinsoku/>
        <w:wordWrap/>
        <w:overflowPunct/>
        <w:topLinePunct w:val="0"/>
        <w:autoSpaceDN/>
        <w:bidi w:val="0"/>
        <w:adjustRightInd/>
        <w:snapToGrid w:val="0"/>
        <w:spacing w:before="0" w:beforeAutospacing="0" w:after="0" w:afterAutospacing="0" w:line="590" w:lineRule="exact"/>
        <w:ind w:firstLine="643"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566.28</w:t>
      </w:r>
      <w:r>
        <w:rPr>
          <w:rFonts w:ascii="方正仿宋_GBK" w:hAnsi="方正仿宋_GBK" w:eastAsia="方正仿宋_GBK" w:cs="方正仿宋_GBK"/>
          <w:sz w:val="32"/>
          <w:szCs w:val="32"/>
          <w:shd w:val="clear" w:color="auto" w:fill="FFFFFF"/>
        </w:rPr>
        <w:t>万元，与2023年度相比，增加142.36万元，增长33.6</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2024年</w:t>
      </w:r>
      <w:r>
        <w:rPr>
          <w:rFonts w:hint="eastAsia" w:ascii="方正仿宋_GBK" w:hAnsi="方正仿宋_GBK" w:eastAsia="方正仿宋_GBK" w:cs="方正仿宋_GBK"/>
          <w:color w:val="000000" w:themeColor="text1"/>
          <w:sz w:val="32"/>
          <w:szCs w:val="32"/>
        </w:rPr>
        <w:t>人员</w:t>
      </w:r>
      <w:r>
        <w:rPr>
          <w:rFonts w:hint="eastAsia" w:ascii="方正仿宋_GBK" w:hAnsi="方正仿宋_GBK" w:eastAsia="方正仿宋_GBK" w:cs="方正仿宋_GBK"/>
          <w:color w:val="000000" w:themeColor="text1"/>
          <w:sz w:val="32"/>
          <w:szCs w:val="32"/>
          <w:lang w:eastAsia="zh-CN"/>
        </w:rPr>
        <w:t>调资增资、基础绩效保障、社保基数调标等</w:t>
      </w:r>
      <w:r>
        <w:rPr>
          <w:rFonts w:hint="eastAsia" w:ascii="方正仿宋_GBK" w:hAnsi="方正仿宋_GBK" w:eastAsia="方正仿宋_GBK" w:cs="方正仿宋_GBK"/>
          <w:color w:val="000000" w:themeColor="text1"/>
          <w:sz w:val="32"/>
          <w:szCs w:val="32"/>
        </w:rPr>
        <w:t>预算</w:t>
      </w:r>
      <w:r>
        <w:rPr>
          <w:rFonts w:hint="eastAsia" w:ascii="方正仿宋_GBK" w:hAnsi="方正仿宋_GBK" w:eastAsia="方正仿宋_GBK" w:cs="方正仿宋_GBK"/>
          <w:color w:val="000000" w:themeColor="text1"/>
          <w:sz w:val="32"/>
          <w:szCs w:val="32"/>
          <w:shd w:val="clear" w:color="auto" w:fill="FFFFFF"/>
        </w:rPr>
        <w:t>经费增加</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项目支出</w:t>
      </w:r>
      <w:r>
        <w:rPr>
          <w:rFonts w:hint="eastAsia" w:ascii="方正仿宋_GBK" w:hAnsi="方正仿宋_GBK" w:eastAsia="方正仿宋_GBK" w:cs="方正仿宋_GBK"/>
          <w:color w:val="000000" w:themeColor="text1"/>
          <w:sz w:val="32"/>
          <w:szCs w:val="32"/>
          <w:shd w:val="clear" w:color="auto" w:fill="FFFFFF"/>
          <w:lang w:eastAsia="zh-CN"/>
        </w:rPr>
        <w:t>增加</w:t>
      </w:r>
      <w:r>
        <w:rPr>
          <w:rFonts w:hint="eastAsia" w:ascii="方正仿宋_GBK" w:hAnsi="方正仿宋_GBK" w:eastAsia="方正仿宋_GBK" w:cs="方正仿宋_GBK"/>
          <w:color w:val="000000" w:themeColor="text1"/>
          <w:sz w:val="32"/>
          <w:szCs w:val="32"/>
          <w:shd w:val="clear" w:color="auto" w:fill="FFFFFF"/>
          <w:lang w:val="en-US" w:eastAsia="zh-CN"/>
        </w:rPr>
        <w:t>41.25万元，</w:t>
      </w:r>
      <w:r>
        <w:rPr>
          <w:rFonts w:hint="eastAsia" w:ascii="方正仿宋_GBK" w:hAnsi="方正仿宋_GBK" w:eastAsia="方正仿宋_GBK" w:cs="方正仿宋_GBK"/>
          <w:color w:val="000000" w:themeColor="text1"/>
          <w:sz w:val="32"/>
          <w:szCs w:val="32"/>
          <w:shd w:val="clear" w:color="auto" w:fill="FFFFFF"/>
        </w:rPr>
        <w:t>主要是</w:t>
      </w:r>
      <w:r>
        <w:rPr>
          <w:rFonts w:hint="eastAsia" w:ascii="方正仿宋_GBK" w:hAnsi="方正仿宋_GBK" w:eastAsia="方正仿宋_GBK" w:cs="方正仿宋_GBK"/>
          <w:color w:val="000000" w:themeColor="text1"/>
          <w:sz w:val="32"/>
          <w:szCs w:val="32"/>
          <w:shd w:val="clear" w:color="auto" w:fill="FFFFFF"/>
          <w:lang w:val="en-US" w:eastAsia="zh-CN"/>
        </w:rPr>
        <w:t>2024年公卫项目支出增加89.87万元，同时社会保障和就业支出减少4.65万元，卫生健康支出减少43.97万元等因素共同影响。</w:t>
      </w:r>
    </w:p>
    <w:p w14:paraId="65750555">
      <w:pPr>
        <w:pStyle w:val="6"/>
        <w:keepNext w:val="0"/>
        <w:keepLines w:val="0"/>
        <w:pageBreakBefore w:val="0"/>
        <w:kinsoku/>
        <w:wordWrap/>
        <w:overflowPunct/>
        <w:topLinePunct w:val="0"/>
        <w:autoSpaceDN/>
        <w:bidi w:val="0"/>
        <w:adjustRightInd/>
        <w:snapToGrid w:val="0"/>
        <w:spacing w:before="0" w:beforeAutospacing="0" w:after="0" w:afterAutospacing="0" w:line="59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400CBC2A">
      <w:pPr>
        <w:pStyle w:val="6"/>
        <w:keepNext w:val="0"/>
        <w:keepLines w:val="0"/>
        <w:pageBreakBefore w:val="0"/>
        <w:kinsoku/>
        <w:wordWrap/>
        <w:overflowPunct/>
        <w:topLinePunct w:val="0"/>
        <w:autoSpaceDN/>
        <w:bidi w:val="0"/>
        <w:adjustRightInd/>
        <w:snapToGrid w:val="0"/>
        <w:spacing w:before="0" w:beforeAutospacing="0" w:after="0" w:afterAutospacing="0" w:line="59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0B62D26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w:t>
      </w:r>
      <w:r>
        <w:rPr>
          <w:rFonts w:ascii="方正仿宋_GBK" w:hAnsi="方正仿宋_GBK" w:eastAsia="方正仿宋_GBK" w:cs="方正仿宋_GBK"/>
          <w:sz w:val="32"/>
          <w:szCs w:val="32"/>
          <w:shd w:val="clear" w:color="auto" w:fill="FFFFFF"/>
        </w:rPr>
        <w:t>出</w:t>
      </w:r>
      <w:r>
        <w:rPr>
          <w:rFonts w:ascii="方正仿宋_GBK" w:hAnsi="方正仿宋_GBK" w:eastAsia="方正仿宋_GBK" w:cs="方正仿宋_GBK"/>
          <w:sz w:val="32"/>
          <w:szCs w:val="32"/>
        </w:rPr>
        <w:t>82.53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，较年初预算数增加19.04万元，增长30.0%，主要原因是</w:t>
      </w:r>
      <w:r>
        <w:rPr>
          <w:rFonts w:hint="eastAsia" w:ascii="方正仿宋_GBK" w:hAnsi="方正仿宋_GBK" w:eastAsia="方正仿宋_GBK" w:cs="方正仿宋_GBK"/>
          <w:sz w:val="32"/>
          <w:szCs w:val="32"/>
          <w:shd w:val="clear" w:color="auto" w:fill="FFFFFF"/>
          <w:lang w:val="en-US" w:eastAsia="zh-CN"/>
        </w:rPr>
        <w:t>2024年补缴机关事业养老保险支出增加。</w:t>
      </w:r>
    </w:p>
    <w:p w14:paraId="2C7BFAA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471.07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w:t>
      </w:r>
      <w:r>
        <w:rPr>
          <w:rFonts w:hint="eastAsia" w:ascii="方正仿宋_GBK" w:hAnsi="方正仿宋_GBK" w:eastAsia="方正仿宋_GBK" w:cs="方正仿宋_GBK"/>
          <w:sz w:val="32"/>
          <w:szCs w:val="32"/>
          <w:lang w:val="en-US" w:eastAsia="zh-CN"/>
        </w:rPr>
        <w:t>20</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w:t>
      </w:r>
      <w:r>
        <w:rPr>
          <w:rFonts w:hint="eastAsia" w:ascii="方正仿宋_GBK" w:hAnsi="方正仿宋_GBK" w:eastAsia="方正仿宋_GBK" w:cs="方正仿宋_GBK"/>
          <w:sz w:val="32"/>
          <w:szCs w:val="32"/>
          <w:shd w:val="clear" w:color="auto" w:fill="FFFFFF"/>
          <w:lang w:val="en-US" w:eastAsia="zh-CN"/>
        </w:rPr>
        <w:t>算</w:t>
      </w:r>
    </w:p>
    <w:p w14:paraId="436EA03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0" w:lineRule="exact"/>
        <w:jc w:val="both"/>
        <w:textAlignment w:val="auto"/>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数增加147.99万元，增长45.8</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2024年基本公卫支出</w:t>
      </w:r>
      <w:r>
        <w:rPr>
          <w:rFonts w:hint="eastAsia" w:ascii="方正仿宋_GBK" w:hAnsi="方正仿宋_GBK" w:eastAsia="方正仿宋_GBK" w:cs="方正仿宋_GBK"/>
          <w:color w:val="000000" w:themeColor="text1"/>
          <w:sz w:val="32"/>
          <w:szCs w:val="32"/>
          <w:shd w:val="clear" w:color="auto" w:fill="FFFFFF"/>
          <w:lang w:val="en-US" w:eastAsia="zh-CN"/>
        </w:rPr>
        <w:t>、</w:t>
      </w:r>
      <w:r>
        <w:rPr>
          <w:rFonts w:hint="eastAsia" w:ascii="方正仿宋_GBK" w:hAnsi="方正仿宋_GBK" w:eastAsia="方正仿宋_GBK" w:cs="方正仿宋_GBK"/>
          <w:color w:val="000000" w:themeColor="text1"/>
          <w:sz w:val="32"/>
          <w:szCs w:val="32"/>
        </w:rPr>
        <w:t>人员</w:t>
      </w:r>
      <w:r>
        <w:rPr>
          <w:rFonts w:hint="eastAsia" w:ascii="方正仿宋_GBK" w:hAnsi="方正仿宋_GBK" w:eastAsia="方正仿宋_GBK" w:cs="方正仿宋_GBK"/>
          <w:color w:val="000000" w:themeColor="text1"/>
          <w:sz w:val="32"/>
          <w:szCs w:val="32"/>
          <w:lang w:eastAsia="zh-CN"/>
        </w:rPr>
        <w:t>调资增资、基础绩效保障支出增加</w:t>
      </w:r>
      <w:r>
        <w:rPr>
          <w:rFonts w:ascii="方正仿宋_GBK" w:hAnsi="方正仿宋_GBK" w:eastAsia="方正仿宋_GBK" w:cs="方正仿宋_GBK"/>
          <w:color w:val="000000" w:themeColor="text1"/>
          <w:sz w:val="32"/>
          <w:szCs w:val="32"/>
          <w:shd w:val="clear" w:color="auto" w:fill="FFFFFF"/>
        </w:rPr>
        <w:t>。</w:t>
      </w:r>
    </w:p>
    <w:p w14:paraId="503FE66C">
      <w:pPr>
        <w:pStyle w:val="6"/>
        <w:keepNext w:val="0"/>
        <w:keepLines w:val="0"/>
        <w:pageBreakBefore w:val="0"/>
        <w:kinsoku/>
        <w:wordWrap/>
        <w:overflowPunct/>
        <w:topLinePunct w:val="0"/>
        <w:autoSpaceDN/>
        <w:bidi w:val="0"/>
        <w:adjustRightInd/>
        <w:snapToGrid w:val="0"/>
        <w:spacing w:before="0" w:beforeAutospacing="0" w:after="0" w:afterAutospacing="0" w:line="590"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住房保障支出12.67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，较年初预算数减少1.59万元，下降11.2</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rPr>
        <w:t>本年度财政对住房公积金保障程度下降</w:t>
      </w:r>
      <w:r>
        <w:rPr>
          <w:rFonts w:ascii="方正仿宋_GBK" w:hAnsi="方正仿宋_GBK" w:eastAsia="方正仿宋_GBK" w:cs="方正仿宋_GBK"/>
          <w:color w:val="000000" w:themeColor="text1"/>
          <w:sz w:val="32"/>
          <w:szCs w:val="32"/>
          <w:shd w:val="clear" w:color="auto" w:fill="FFFFFF"/>
        </w:rPr>
        <w:t>。</w:t>
      </w:r>
    </w:p>
    <w:p w14:paraId="404F61A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（四）一般公共预算财政拨款基本支出决算情况说明</w:t>
      </w:r>
    </w:p>
    <w:p w14:paraId="7F06CCEA">
      <w:pPr>
        <w:pStyle w:val="6"/>
        <w:keepNext w:val="0"/>
        <w:keepLines w:val="0"/>
        <w:pageBreakBefore w:val="0"/>
        <w:kinsoku/>
        <w:wordWrap/>
        <w:overflowPunct/>
        <w:topLinePunct w:val="0"/>
        <w:autoSpaceDN/>
        <w:bidi w:val="0"/>
        <w:adjustRightInd/>
        <w:spacing w:before="0" w:beforeAutospacing="0" w:after="0" w:afterAutospacing="0" w:line="590" w:lineRule="exact"/>
        <w:ind w:firstLine="640" w:firstLineChars="200"/>
        <w:textAlignment w:val="auto"/>
        <w:rPr>
          <w:rFonts w:hint="eastAsia" w:ascii="方正仿宋_GBK" w:eastAsia="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398.19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397.89</w:t>
      </w:r>
      <w:r>
        <w:rPr>
          <w:rFonts w:ascii="方正仿宋_GBK" w:hAnsi="方正仿宋_GBK" w:eastAsia="方正仿宋_GBK" w:cs="方正仿宋_GBK"/>
          <w:sz w:val="32"/>
          <w:szCs w:val="32"/>
          <w:shd w:val="clear" w:color="auto" w:fill="FFFFFF"/>
        </w:rPr>
        <w:t>万元，与2023年度相比，增加101.17万元，增长34.1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2024年</w:t>
      </w:r>
      <w:r>
        <w:rPr>
          <w:rFonts w:hint="eastAsia" w:ascii="方正仿宋_GBK" w:hAnsi="方正仿宋_GBK" w:eastAsia="方正仿宋_GBK" w:cs="方正仿宋_GBK"/>
          <w:color w:val="000000" w:themeColor="text1"/>
          <w:sz w:val="32"/>
          <w:szCs w:val="32"/>
        </w:rPr>
        <w:t>人员</w:t>
      </w:r>
      <w:r>
        <w:rPr>
          <w:rFonts w:hint="eastAsia" w:ascii="方正仿宋_GBK" w:hAnsi="方正仿宋_GBK" w:eastAsia="方正仿宋_GBK" w:cs="方正仿宋_GBK"/>
          <w:color w:val="000000" w:themeColor="text1"/>
          <w:sz w:val="32"/>
          <w:szCs w:val="32"/>
          <w:lang w:eastAsia="zh-CN"/>
        </w:rPr>
        <w:t>调资增资、基础绩效保障、社保基数调标等</w:t>
      </w:r>
      <w:r>
        <w:rPr>
          <w:rFonts w:hint="eastAsia" w:ascii="方正仿宋_GBK" w:hAnsi="方正仿宋_GBK" w:eastAsia="方正仿宋_GBK" w:cs="方正仿宋_GBK"/>
          <w:color w:val="000000" w:themeColor="text1"/>
          <w:sz w:val="32"/>
          <w:szCs w:val="32"/>
        </w:rPr>
        <w:t>预算</w:t>
      </w:r>
      <w:r>
        <w:rPr>
          <w:rFonts w:hint="eastAsia" w:ascii="方正仿宋_GBK" w:hAnsi="方正仿宋_GBK" w:eastAsia="方正仿宋_GBK" w:cs="方正仿宋_GBK"/>
          <w:color w:val="000000" w:themeColor="text1"/>
          <w:sz w:val="32"/>
          <w:szCs w:val="32"/>
          <w:shd w:val="clear" w:color="auto" w:fill="FFFFFF"/>
        </w:rPr>
        <w:t>经费增加</w:t>
      </w:r>
      <w:r>
        <w:rPr>
          <w:rFonts w:ascii="方正仿宋_GBK" w:hAnsi="方正仿宋_GBK" w:eastAsia="方正仿宋_GBK" w:cs="方正仿宋_GBK"/>
          <w:color w:val="000000" w:themeColor="text1"/>
          <w:sz w:val="32"/>
          <w:szCs w:val="32"/>
          <w:shd w:val="clear" w:color="auto" w:fill="FFFFFF"/>
        </w:rPr>
        <w:t>。</w:t>
      </w:r>
      <w:r>
        <w:rPr>
          <w:rFonts w:hint="eastAsia" w:ascii="方正仿宋_GBK" w:eastAsia="方正仿宋_GBK"/>
          <w:color w:val="000000" w:themeColor="text1"/>
          <w:sz w:val="32"/>
          <w:szCs w:val="32"/>
        </w:rPr>
        <w:t>人</w:t>
      </w:r>
      <w:r>
        <w:rPr>
          <w:rFonts w:hint="eastAsia" w:ascii="方正仿宋_GBK" w:eastAsia="方正仿宋_GBK"/>
          <w:color w:val="auto"/>
          <w:sz w:val="32"/>
          <w:szCs w:val="32"/>
        </w:rPr>
        <w:t>员经费用途主要包括基本工资</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津贴补贴</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绩效工资</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社会保障费</w:t>
      </w:r>
      <w:r>
        <w:rPr>
          <w:rFonts w:hint="eastAsia" w:ascii="方正仿宋_GBK" w:eastAsia="方正仿宋_GBK"/>
          <w:color w:val="auto"/>
          <w:sz w:val="32"/>
          <w:szCs w:val="32"/>
          <w:lang w:eastAsia="zh-CN"/>
        </w:rPr>
        <w:t>、住房</w:t>
      </w:r>
      <w:r>
        <w:rPr>
          <w:rFonts w:hint="eastAsia" w:ascii="方正仿宋_GBK" w:eastAsia="方正仿宋_GBK"/>
          <w:color w:val="auto"/>
          <w:sz w:val="32"/>
          <w:szCs w:val="32"/>
        </w:rPr>
        <w:t>公积金</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离退休人员经费等。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万元，与2023年度相比，减少0.05万元，下降14.3</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hint="eastAsia" w:ascii="方正仿宋_GBK" w:eastAsia="方正仿宋_GBK"/>
          <w:color w:val="auto"/>
          <w:sz w:val="32"/>
          <w:szCs w:val="32"/>
          <w:lang w:eastAsia="zh-CN"/>
        </w:rPr>
        <w:t>主要原因是</w:t>
      </w:r>
      <w:r>
        <w:rPr>
          <w:rFonts w:hint="eastAsia" w:ascii="方正仿宋_GBK" w:eastAsia="方正仿宋_GBK"/>
          <w:color w:val="auto"/>
          <w:sz w:val="32"/>
          <w:szCs w:val="32"/>
          <w:lang w:val="en-US" w:eastAsia="zh-CN"/>
        </w:rPr>
        <w:t>2024年公用经费未在基本支出中列支。</w:t>
      </w:r>
      <w:r>
        <w:rPr>
          <w:rFonts w:hint="eastAsia" w:ascii="方正仿宋_GBK" w:eastAsia="方正仿宋_GBK"/>
          <w:color w:val="auto"/>
          <w:sz w:val="32"/>
          <w:szCs w:val="32"/>
        </w:rPr>
        <w:t>公用经费用途主要包括印刷费</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水费</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电费</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邮电费</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差旅费</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专用材料费</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劳务费</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委托业务费</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其他商品和服务支出等。</w:t>
      </w:r>
    </w:p>
    <w:p w14:paraId="74532F60">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（五）政府性基金预算收支决算情况说明</w:t>
      </w:r>
    </w:p>
    <w:p w14:paraId="14EA15BE">
      <w:pPr>
        <w:pStyle w:val="6"/>
        <w:keepNext w:val="0"/>
        <w:keepLines w:val="0"/>
        <w:pageBreakBefore w:val="0"/>
        <w:kinsoku/>
        <w:wordWrap/>
        <w:overflowPunct/>
        <w:topLinePunct w:val="0"/>
        <w:autoSpaceDN/>
        <w:bidi w:val="0"/>
        <w:adjustRightInd/>
        <w:spacing w:before="0" w:beforeAutospacing="0" w:after="0" w:afterAutospacing="0" w:line="59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0.00万元，本年收入0.00万元，本年支出0.00万元，年末结转结余0.00万元。本年支出与2023年度相比，减少59.29万元，下降100.00%，主要原因是2024年无政府性基金支出，而2023年度使用政府性基金预算财政拨款年初结转结余59.29万元用于专项维修支出。</w:t>
      </w:r>
    </w:p>
    <w:p w14:paraId="3650E66B">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lang w:eastAsia="zh-CN"/>
        </w:rPr>
        <w:t>（六）</w:t>
      </w:r>
      <w:r>
        <w:rPr>
          <w:rStyle w:val="10"/>
          <w:rFonts w:hint="eastAsia" w:ascii="方正楷体_GBK" w:hAnsi="方正楷体_GBK" w:eastAsia="方正楷体_GBK" w:cs="方正楷体_GBK"/>
          <w:b w:val="0"/>
          <w:bCs/>
          <w:sz w:val="32"/>
          <w:szCs w:val="32"/>
          <w:highlight w:val="none"/>
          <w:shd w:val="clear" w:color="auto" w:fill="FFFFFF"/>
        </w:rPr>
        <w:t>国有资本经营预算财政拨款支出决算情况说明</w:t>
      </w:r>
    </w:p>
    <w:p w14:paraId="7AF5C041">
      <w:pPr>
        <w:pStyle w:val="11"/>
        <w:keepNext w:val="0"/>
        <w:keepLines w:val="0"/>
        <w:pageBreakBefore w:val="0"/>
        <w:numPr>
          <w:ilvl w:val="0"/>
          <w:numId w:val="0"/>
        </w:numPr>
        <w:kinsoku/>
        <w:wordWrap/>
        <w:overflowPunct/>
        <w:topLinePunct w:val="0"/>
        <w:autoSpaceDE w:val="0"/>
        <w:autoSpaceDN/>
        <w:bidi w:val="0"/>
        <w:adjustRightInd/>
        <w:spacing w:line="590" w:lineRule="exact"/>
        <w:ind w:firstLine="640" w:firstLineChars="200"/>
        <w:textAlignment w:val="auto"/>
        <w:rPr>
          <w:rFonts w:hint="default" w:ascii="楷体" w:hAnsi="楷体" w:eastAsia="楷体" w:cs="楷体"/>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本单位2024年无国有资本经营预算财政拨款支出。</w:t>
      </w:r>
    </w:p>
    <w:p w14:paraId="652517F7">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三、财政拨款“三公”经费情况说明</w:t>
      </w:r>
    </w:p>
    <w:p w14:paraId="588EFAFB">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（一）“三公”经费支出总体情况说明</w:t>
      </w:r>
    </w:p>
    <w:p w14:paraId="58ABB137">
      <w:pPr>
        <w:pStyle w:val="11"/>
        <w:keepNext w:val="0"/>
        <w:keepLines w:val="0"/>
        <w:pageBreakBefore w:val="0"/>
        <w:numPr>
          <w:ilvl w:val="0"/>
          <w:numId w:val="0"/>
        </w:numPr>
        <w:kinsoku/>
        <w:wordWrap/>
        <w:overflowPunct/>
        <w:topLinePunct w:val="0"/>
        <w:autoSpaceDE w:val="0"/>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本单位2024年度"三公"经费支出共计0.00万元，与2023年度持平。</w:t>
      </w:r>
    </w:p>
    <w:p w14:paraId="666CDEEF">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lang w:eastAsia="zh-CN"/>
        </w:rPr>
        <w:t>（二）</w:t>
      </w:r>
      <w:r>
        <w:rPr>
          <w:rStyle w:val="10"/>
          <w:rFonts w:hint="eastAsia" w:ascii="方正楷体_GBK" w:hAnsi="方正楷体_GBK" w:eastAsia="方正楷体_GBK" w:cs="方正楷体_GBK"/>
          <w:b w:val="0"/>
          <w:bCs/>
          <w:sz w:val="32"/>
          <w:szCs w:val="32"/>
          <w:highlight w:val="none"/>
          <w:shd w:val="clear" w:color="auto" w:fill="FFFFFF"/>
        </w:rPr>
        <w:t>“三公”经费分项支出情况</w:t>
      </w:r>
    </w:p>
    <w:p w14:paraId="6302B736">
      <w:pPr>
        <w:pStyle w:val="11"/>
        <w:keepNext w:val="0"/>
        <w:keepLines w:val="0"/>
        <w:pageBreakBefore w:val="0"/>
        <w:numPr>
          <w:ilvl w:val="0"/>
          <w:numId w:val="0"/>
        </w:numPr>
        <w:kinsoku/>
        <w:wordWrap/>
        <w:overflowPunct/>
        <w:topLinePunct w:val="0"/>
        <w:autoSpaceDE w:val="0"/>
        <w:autoSpaceDN/>
        <w:bidi w:val="0"/>
        <w:adjustRightInd/>
        <w:spacing w:line="59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2024年度本部门因公出国（境）费用0.00万元。公务用车购置费0.00万元。公务用车运行维护费0.00万元。公务接待费0.00万元。</w:t>
      </w:r>
    </w:p>
    <w:p w14:paraId="3E10CAB9">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lang w:val="en-US" w:eastAsia="zh-CN"/>
        </w:rPr>
        <w:t>（三）</w:t>
      </w:r>
      <w:r>
        <w:rPr>
          <w:rStyle w:val="10"/>
          <w:rFonts w:hint="eastAsia" w:ascii="方正楷体_GBK" w:hAnsi="方正楷体_GBK" w:eastAsia="方正楷体_GBK" w:cs="方正楷体_GBK"/>
          <w:b w:val="0"/>
          <w:bCs/>
          <w:sz w:val="32"/>
          <w:szCs w:val="32"/>
          <w:highlight w:val="none"/>
          <w:shd w:val="clear" w:color="auto" w:fill="FFFFFF"/>
        </w:rPr>
        <w:t>“三公”经费实物量情况</w:t>
      </w:r>
    </w:p>
    <w:p w14:paraId="4A720EBB">
      <w:pPr>
        <w:pStyle w:val="11"/>
        <w:keepNext w:val="0"/>
        <w:keepLines w:val="0"/>
        <w:pageBreakBefore w:val="0"/>
        <w:numPr>
          <w:ilvl w:val="0"/>
          <w:numId w:val="0"/>
        </w:numPr>
        <w:kinsoku/>
        <w:wordWrap/>
        <w:overflowPunct/>
        <w:topLinePunct w:val="0"/>
        <w:autoSpaceDE w:val="0"/>
        <w:autoSpaceDN/>
        <w:bidi w:val="0"/>
        <w:adjustRightInd/>
        <w:spacing w:line="59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单位因公出国（境）共计0个团组，0人；公务用车购置0辆，公务用车保有量为0辆；国内公务接待0批次0人，其中：国内外事接待0批次，0人；国（境）外公务接待0批次，0人。2024年本单位人均接待费0.00元，车均购置费0.00万元，车均维护费0.00万元。</w:t>
      </w:r>
    </w:p>
    <w:p w14:paraId="379357EE">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default"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四、其他需要说明的事项</w:t>
      </w:r>
    </w:p>
    <w:p w14:paraId="1DDC1F1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（一）财政拨款会议费和培训费情况说明</w:t>
      </w:r>
    </w:p>
    <w:p w14:paraId="64892DBE">
      <w:pPr>
        <w:pStyle w:val="11"/>
        <w:keepNext w:val="0"/>
        <w:keepLines w:val="0"/>
        <w:pageBreakBefore w:val="0"/>
        <w:kinsoku/>
        <w:wordWrap/>
        <w:overflowPunct/>
        <w:topLinePunct w:val="0"/>
        <w:autoSpaceDE w:val="0"/>
        <w:autoSpaceDN/>
        <w:bidi w:val="0"/>
        <w:adjustRightInd/>
        <w:spacing w:line="590" w:lineRule="exact"/>
        <w:ind w:left="0" w:leftChars="0" w:firstLine="640" w:firstLineChars="200"/>
        <w:textAlignment w:val="auto"/>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rPr>
        <w:t>本年度会议费支出0</w:t>
      </w:r>
      <w:r>
        <w:rPr>
          <w:rFonts w:hint="eastAsia" w:ascii="Times New Roman" w:hAnsi="Times New Roman" w:eastAsia="方正仿宋_GBK" w:cs="宋体"/>
          <w:color w:val="000000"/>
          <w:kern w:val="0"/>
          <w:sz w:val="32"/>
          <w:szCs w:val="32"/>
          <w:lang w:val="en-US" w:eastAsia="zh-CN"/>
        </w:rPr>
        <w:t>.00</w:t>
      </w:r>
      <w:r>
        <w:rPr>
          <w:rFonts w:hint="eastAsia" w:ascii="Times New Roman" w:hAnsi="Times New Roman" w:eastAsia="方正仿宋_GBK" w:cs="宋体"/>
          <w:color w:val="000000"/>
          <w:kern w:val="0"/>
          <w:sz w:val="32"/>
          <w:szCs w:val="32"/>
        </w:rPr>
        <w:t>万元，与上年决算数相等。本年度培训费支出</w:t>
      </w:r>
      <w:r>
        <w:rPr>
          <w:rFonts w:hint="eastAsia" w:ascii="Times New Roman" w:hAnsi="Times New Roman" w:eastAsia="方正仿宋_GBK" w:cs="宋体"/>
          <w:color w:val="000000"/>
          <w:kern w:val="0"/>
          <w:sz w:val="32"/>
          <w:szCs w:val="32"/>
          <w:lang w:val="en-US" w:eastAsia="zh-CN"/>
        </w:rPr>
        <w:t>0.00</w:t>
      </w:r>
      <w:r>
        <w:rPr>
          <w:rFonts w:hint="eastAsia" w:ascii="Times New Roman" w:hAnsi="Times New Roman" w:eastAsia="方正仿宋_GBK" w:cs="宋体"/>
          <w:color w:val="000000"/>
          <w:kern w:val="0"/>
          <w:sz w:val="32"/>
          <w:szCs w:val="32"/>
        </w:rPr>
        <w:t>万元，</w:t>
      </w:r>
      <w:r>
        <w:rPr>
          <w:rFonts w:hint="eastAsia" w:ascii="Times New Roman" w:hAnsi="Times New Roman" w:eastAsia="方正仿宋_GBK" w:cs="宋体"/>
          <w:color w:val="000000"/>
          <w:kern w:val="0"/>
          <w:sz w:val="32"/>
          <w:szCs w:val="32"/>
          <w:lang w:val="en-US" w:eastAsia="zh-CN"/>
        </w:rPr>
        <w:t>与上年决算数持平。</w:t>
      </w:r>
    </w:p>
    <w:p w14:paraId="34F5822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w:t>
      </w:r>
      <w:r>
        <w:rPr>
          <w:rStyle w:val="10"/>
          <w:rFonts w:hint="eastAsia" w:ascii="方正楷体_GBK" w:hAnsi="方正楷体_GBK" w:eastAsia="方正楷体_GBK" w:cs="方正楷体_GBK"/>
          <w:b w:val="0"/>
          <w:bCs/>
          <w:sz w:val="32"/>
          <w:szCs w:val="32"/>
          <w:highlight w:val="none"/>
          <w:shd w:val="clear" w:color="auto" w:fill="FFFFFF"/>
          <w:lang w:val="en-US" w:eastAsia="zh-CN"/>
        </w:rPr>
        <w:t>二</w:t>
      </w:r>
      <w:r>
        <w:rPr>
          <w:rStyle w:val="10"/>
          <w:rFonts w:hint="eastAsia" w:ascii="方正楷体_GBK" w:hAnsi="方正楷体_GBK" w:eastAsia="方正楷体_GBK" w:cs="方正楷体_GBK"/>
          <w:b w:val="0"/>
          <w:bCs/>
          <w:sz w:val="32"/>
          <w:szCs w:val="32"/>
          <w:highlight w:val="none"/>
          <w:shd w:val="clear" w:color="auto" w:fill="FFFFFF"/>
        </w:rPr>
        <w:t>）国有资产占用情况说明</w:t>
      </w:r>
    </w:p>
    <w:p w14:paraId="1FFFC2FB">
      <w:pPr>
        <w:pStyle w:val="6"/>
        <w:keepNext w:val="0"/>
        <w:keepLines w:val="0"/>
        <w:pageBreakBefore w:val="0"/>
        <w:kinsoku/>
        <w:wordWrap/>
        <w:overflowPunct/>
        <w:topLinePunct w:val="0"/>
        <w:autoSpaceDN/>
        <w:bidi w:val="0"/>
        <w:adjustRightInd/>
        <w:snapToGrid w:val="0"/>
        <w:spacing w:before="0" w:beforeAutospacing="0" w:after="0" w:afterAutospacing="0" w:line="59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6D1B9A2">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Style w:val="10"/>
          <w:rFonts w:hint="eastAsia" w:ascii="方正楷体_GBK" w:hAnsi="方正楷体_GBK" w:eastAsia="方正楷体_GBK" w:cs="方正楷体_GBK"/>
          <w:b w:val="0"/>
          <w:bCs/>
          <w:sz w:val="32"/>
          <w:szCs w:val="32"/>
          <w:highlight w:val="none"/>
          <w:shd w:val="clear" w:color="auto" w:fill="FFFFFF"/>
        </w:rPr>
      </w:pPr>
      <w:r>
        <w:rPr>
          <w:rStyle w:val="10"/>
          <w:rFonts w:hint="eastAsia" w:ascii="方正楷体_GBK" w:hAnsi="方正楷体_GBK" w:eastAsia="方正楷体_GBK" w:cs="方正楷体_GBK"/>
          <w:b w:val="0"/>
          <w:bCs/>
          <w:sz w:val="32"/>
          <w:szCs w:val="32"/>
          <w:highlight w:val="none"/>
          <w:shd w:val="clear" w:color="auto" w:fill="FFFFFF"/>
        </w:rPr>
        <w:t>（</w:t>
      </w:r>
      <w:r>
        <w:rPr>
          <w:rStyle w:val="10"/>
          <w:rFonts w:hint="eastAsia" w:ascii="方正楷体_GBK" w:hAnsi="方正楷体_GBK" w:eastAsia="方正楷体_GBK" w:cs="方正楷体_GBK"/>
          <w:b w:val="0"/>
          <w:bCs/>
          <w:sz w:val="32"/>
          <w:szCs w:val="32"/>
          <w:highlight w:val="none"/>
          <w:shd w:val="clear" w:color="auto" w:fill="FFFFFF"/>
          <w:lang w:val="en-US" w:eastAsia="zh-CN"/>
        </w:rPr>
        <w:t>三</w:t>
      </w:r>
      <w:r>
        <w:rPr>
          <w:rStyle w:val="10"/>
          <w:rFonts w:hint="eastAsia" w:ascii="方正楷体_GBK" w:hAnsi="方正楷体_GBK" w:eastAsia="方正楷体_GBK" w:cs="方正楷体_GBK"/>
          <w:b w:val="0"/>
          <w:bCs/>
          <w:sz w:val="32"/>
          <w:szCs w:val="32"/>
          <w:highlight w:val="none"/>
          <w:shd w:val="clear" w:color="auto" w:fill="FFFFFF"/>
        </w:rPr>
        <w:t>）政府采购支出情况说明</w:t>
      </w:r>
    </w:p>
    <w:p w14:paraId="259AEEB7">
      <w:pPr>
        <w:pStyle w:val="6"/>
        <w:keepNext w:val="0"/>
        <w:keepLines w:val="0"/>
        <w:pageBreakBefore w:val="0"/>
        <w:kinsoku/>
        <w:wordWrap/>
        <w:overflowPunct/>
        <w:topLinePunct w:val="0"/>
        <w:autoSpaceDN/>
        <w:bidi w:val="0"/>
        <w:adjustRightInd/>
        <w:snapToGrid w:val="0"/>
        <w:spacing w:before="0" w:beforeAutospacing="0" w:after="0" w:afterAutospacing="0" w:line="59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1.15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1.15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 xml:space="preserve"> %。</w:t>
      </w:r>
    </w:p>
    <w:p w14:paraId="644C753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五、预算绩效管理情况说明</w:t>
      </w:r>
    </w:p>
    <w:p w14:paraId="3BCB5E0C">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0" w:lineRule="exact"/>
        <w:ind w:right="0" w:firstLine="640" w:firstLineChars="200"/>
        <w:jc w:val="both"/>
        <w:textAlignment w:val="auto"/>
        <w:rPr>
          <w:rFonts w:hint="default" w:ascii="方正楷体_GBK" w:hAnsi="方正楷体_GBK" w:eastAsia="方正楷体_GBK" w:cs="方正楷体_GBK"/>
          <w:b w:val="0"/>
          <w:kern w:val="2"/>
          <w:sz w:val="32"/>
          <w:szCs w:val="32"/>
          <w:highlight w:val="none"/>
          <w:shd w:val="clear" w:color="auto" w:fill="FFFFFF"/>
        </w:rPr>
      </w:pPr>
      <w:r>
        <w:rPr>
          <w:rFonts w:hint="default" w:ascii="方正楷体_GBK" w:hAnsi="方正楷体_GBK" w:eastAsia="方正楷体_GBK" w:cs="方正楷体_GBK"/>
          <w:b w:val="0"/>
          <w:kern w:val="2"/>
          <w:sz w:val="32"/>
          <w:szCs w:val="32"/>
          <w:highlight w:val="none"/>
          <w:shd w:val="clear" w:color="auto" w:fill="FFFFFF"/>
          <w:lang w:val="en-US" w:eastAsia="zh-CN" w:bidi="ar"/>
        </w:rPr>
        <w:t>（一）预算绩效管理工作开展情况</w:t>
      </w:r>
    </w:p>
    <w:p w14:paraId="62C8750B">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仿宋_GBK" w:eastAsia="方正仿宋_GBK"/>
          <w:color w:val="000000"/>
          <w:sz w:val="32"/>
          <w:szCs w:val="32"/>
          <w:highlight w:val="none"/>
          <w:lang w:val="en-US" w:eastAsia="zh-CN"/>
        </w:rPr>
      </w:pPr>
      <w:r>
        <w:rPr>
          <w:rFonts w:hint="default" w:ascii="方正仿宋_GBK" w:hAnsi="方正仿宋_GBK" w:eastAsia="方正仿宋_GBK" w:cs="方正仿宋_GBK"/>
          <w:kern w:val="0"/>
          <w:sz w:val="32"/>
          <w:szCs w:val="32"/>
          <w:highlight w:val="none"/>
          <w:lang w:val="en-US" w:eastAsia="zh-CN" w:bidi="ar"/>
        </w:rPr>
        <w:t>根据预算绩效管理要求，</w:t>
      </w:r>
      <w:r>
        <w:rPr>
          <w:rFonts w:hint="eastAsia" w:ascii="方正仿宋_GBK" w:eastAsia="方正仿宋_GBK"/>
          <w:color w:val="000000"/>
          <w:sz w:val="32"/>
          <w:szCs w:val="32"/>
          <w:highlight w:val="none"/>
          <w:lang w:eastAsia="zh-CN"/>
        </w:rPr>
        <w:t>本单位</w:t>
      </w:r>
      <w:r>
        <w:rPr>
          <w:rFonts w:hint="eastAsia" w:ascii="方正仿宋_GBK" w:eastAsia="方正仿宋_GBK"/>
          <w:color w:val="000000"/>
          <w:sz w:val="32"/>
          <w:szCs w:val="32"/>
          <w:highlight w:val="none"/>
          <w:lang w:val="en-US" w:eastAsia="zh-CN"/>
        </w:rPr>
        <w:t>涉及1个项目开展了绩效自评。</w:t>
      </w:r>
    </w:p>
    <w:p w14:paraId="1D2CA061">
      <w:pPr>
        <w:keepNext w:val="0"/>
        <w:keepLines w:val="0"/>
        <w:pageBreakBefore w:val="0"/>
        <w:numPr>
          <w:ilvl w:val="0"/>
          <w:numId w:val="1"/>
        </w:numPr>
        <w:kinsoku/>
        <w:wordWrap/>
        <w:overflowPunct/>
        <w:topLinePunct w:val="0"/>
        <w:autoSpaceDN/>
        <w:bidi w:val="0"/>
        <w:adjustRightInd/>
        <w:spacing w:line="560" w:lineRule="exact"/>
        <w:ind w:left="638" w:leftChars="266" w:firstLine="0" w:firstLineChars="0"/>
        <w:textAlignment w:val="auto"/>
        <w:rPr>
          <w:rFonts w:hint="default" w:ascii="方正仿宋_GBK" w:hAnsi="方正仿宋_GBK" w:eastAsia="方正仿宋_GBK" w:cs="方正仿宋_GBK"/>
          <w:color w:val="000000"/>
          <w:kern w:val="0"/>
          <w:sz w:val="32"/>
          <w:szCs w:val="32"/>
          <w:highlight w:val="none"/>
          <w:lang w:val="en-US" w:eastAsia="zh-CN" w:bidi="ar"/>
        </w:rPr>
      </w:pPr>
      <w:r>
        <w:rPr>
          <w:rFonts w:hint="default" w:ascii="方正楷体_GBK" w:hAnsi="方正楷体_GBK" w:eastAsia="方正楷体_GBK" w:cs="方正楷体_GBK"/>
          <w:kern w:val="0"/>
          <w:sz w:val="32"/>
          <w:szCs w:val="32"/>
          <w:highlight w:val="none"/>
          <w:lang w:val="en-US" w:eastAsia="zh-CN" w:bidi="ar"/>
        </w:rPr>
        <w:t>绩效自评结果</w:t>
      </w:r>
      <w:r>
        <w:rPr>
          <w:rFonts w:hint="eastAsia" w:ascii="方正楷体_GBK" w:hAnsi="方正楷体_GBK" w:eastAsia="方正楷体_GBK" w:cs="方正楷体_GBK"/>
          <w:kern w:val="0"/>
          <w:sz w:val="32"/>
          <w:szCs w:val="32"/>
          <w:highlight w:val="none"/>
          <w:lang w:val="en-US" w:eastAsia="zh-CN" w:bidi="ar"/>
        </w:rPr>
        <w:t xml:space="preserve">                                </w:t>
      </w:r>
      <w:r>
        <w:rPr>
          <w:rFonts w:hint="default" w:ascii="方正仿宋_GBK" w:hAnsi="方正仿宋_GBK" w:eastAsia="方正仿宋_GBK" w:cs="方正仿宋_GBK"/>
          <w:color w:val="000000"/>
          <w:kern w:val="0"/>
          <w:sz w:val="32"/>
          <w:szCs w:val="32"/>
          <w:highlight w:val="none"/>
          <w:lang w:val="en-US" w:eastAsia="zh-CN" w:bidi="ar"/>
        </w:rPr>
        <w:t>绩效自评结果详见附件</w:t>
      </w:r>
      <w:r>
        <w:rPr>
          <w:rFonts w:hint="eastAsia" w:ascii="Times New Roman" w:hAnsi="Times New Roman" w:eastAsia="方正仿宋_GBK" w:cs="宋体"/>
          <w:color w:val="000000"/>
          <w:kern w:val="0"/>
          <w:sz w:val="32"/>
          <w:szCs w:val="32"/>
          <w:highlight w:val="none"/>
          <w:lang w:val="en-US" w:eastAsia="zh-CN" w:bidi="ar"/>
        </w:rPr>
        <w:t>2024</w:t>
      </w:r>
      <w:r>
        <w:rPr>
          <w:rFonts w:hint="default" w:ascii="方正仿宋_GBK" w:hAnsi="方正仿宋_GBK" w:eastAsia="方正仿宋_GBK" w:cs="方正仿宋_GBK"/>
          <w:color w:val="000000"/>
          <w:kern w:val="0"/>
          <w:sz w:val="32"/>
          <w:szCs w:val="32"/>
          <w:highlight w:val="none"/>
          <w:lang w:val="en-US" w:eastAsia="zh-CN" w:bidi="ar"/>
        </w:rPr>
        <w:t>年度绩效自评公开表（《部门</w:t>
      </w:r>
    </w:p>
    <w:p w14:paraId="1662450F">
      <w:pPr>
        <w:keepNext w:val="0"/>
        <w:keepLines w:val="0"/>
        <w:pageBreakBefore w:val="0"/>
        <w:numPr>
          <w:numId w:val="0"/>
        </w:numPr>
        <w:kinsoku/>
        <w:wordWrap/>
        <w:overflowPunct/>
        <w:topLinePunct w:val="0"/>
        <w:autoSpaceDN/>
        <w:bidi w:val="0"/>
        <w:adjustRightInd/>
        <w:spacing w:line="560" w:lineRule="exact"/>
        <w:textAlignment w:val="auto"/>
        <w:rPr>
          <w:rFonts w:hint="default" w:ascii="方正仿宋_GBK" w:hAnsi="方正仿宋_GBK" w:eastAsia="方正仿宋_GBK" w:cs="方正仿宋_GBK"/>
          <w:color w:val="000000"/>
          <w:kern w:val="0"/>
          <w:sz w:val="32"/>
          <w:szCs w:val="32"/>
          <w:highlight w:val="none"/>
          <w:lang w:val="en-US" w:eastAsia="zh-CN" w:bidi="ar"/>
        </w:rPr>
      </w:pPr>
      <w:r>
        <w:rPr>
          <w:rFonts w:hint="eastAsia" w:ascii="方正仿宋_GBK" w:hAnsi="方正仿宋_GBK" w:eastAsia="方正仿宋_GBK" w:cs="方正仿宋_GBK"/>
          <w:color w:val="000000"/>
          <w:kern w:val="0"/>
          <w:sz w:val="32"/>
          <w:szCs w:val="32"/>
          <w:highlight w:val="none"/>
          <w:lang w:val="en-US" w:eastAsia="zh-CN" w:bidi="ar"/>
        </w:rPr>
        <w:t>整体绩效自评表》、</w:t>
      </w:r>
      <w:r>
        <w:rPr>
          <w:rFonts w:hint="default" w:ascii="方正仿宋_GBK" w:hAnsi="方正仿宋_GBK" w:eastAsia="方正仿宋_GBK" w:cs="方正仿宋_GBK"/>
          <w:color w:val="000000"/>
          <w:kern w:val="0"/>
          <w:sz w:val="32"/>
          <w:szCs w:val="32"/>
          <w:highlight w:val="none"/>
          <w:lang w:val="en-US" w:eastAsia="zh-CN" w:bidi="ar"/>
        </w:rPr>
        <w:t>《项目绩效自评结果汇总表》</w:t>
      </w:r>
      <w:r>
        <w:rPr>
          <w:rFonts w:hint="eastAsia" w:ascii="方正仿宋_GBK" w:hAnsi="方正仿宋_GBK" w:eastAsia="方正仿宋_GBK" w:cs="方正仿宋_GBK"/>
          <w:color w:val="000000"/>
          <w:kern w:val="0"/>
          <w:sz w:val="32"/>
          <w:szCs w:val="32"/>
          <w:highlight w:val="none"/>
          <w:lang w:val="en-US" w:eastAsia="zh-CN" w:bidi="ar"/>
        </w:rPr>
        <w:t>、《项目支</w:t>
      </w:r>
    </w:p>
    <w:p w14:paraId="06D3F14D">
      <w:pPr>
        <w:keepNext w:val="0"/>
        <w:keepLines w:val="0"/>
        <w:pageBreakBefore w:val="0"/>
        <w:numPr>
          <w:numId w:val="0"/>
        </w:numPr>
        <w:kinsoku/>
        <w:wordWrap/>
        <w:overflowPunct/>
        <w:topLinePunct w:val="0"/>
        <w:autoSpaceDN/>
        <w:bidi w:val="0"/>
        <w:adjustRightInd/>
        <w:spacing w:line="560" w:lineRule="exact"/>
        <w:textAlignment w:val="auto"/>
        <w:rPr>
          <w:rFonts w:hint="default" w:ascii="方正仿宋_GBK" w:hAnsi="方正仿宋_GBK" w:eastAsia="方正仿宋_GBK" w:cs="方正仿宋_GBK"/>
          <w:kern w:val="2"/>
          <w:sz w:val="32"/>
          <w:szCs w:val="32"/>
          <w:highlight w:val="none"/>
          <w:shd w:val="clear" w:color="auto" w:fill="FFFFFF"/>
        </w:rPr>
      </w:pPr>
      <w:r>
        <w:rPr>
          <w:rFonts w:hint="default" w:ascii="方正仿宋_GBK" w:hAnsi="方正仿宋_GBK" w:eastAsia="方正仿宋_GBK" w:cs="方正仿宋_GBK"/>
          <w:color w:val="000000"/>
          <w:kern w:val="0"/>
          <w:sz w:val="32"/>
          <w:szCs w:val="32"/>
          <w:highlight w:val="none"/>
          <w:lang w:val="en-US" w:eastAsia="zh-CN" w:bidi="ar"/>
        </w:rPr>
        <w:t>出绩效自评表》）。</w:t>
      </w:r>
    </w:p>
    <w:p w14:paraId="3E40236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六、专业名词解释</w:t>
      </w:r>
    </w:p>
    <w:p w14:paraId="41E6E6CD">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8B4F81E">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3645237">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C4C6F0A">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65952E6">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2491856">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E7F88C3">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60E5E59">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9193701">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ABABBE">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4C20803">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9685025">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424B0B6">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E222504">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7BFAC08">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5268D4C">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091E502">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highlight w:val="none"/>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48BCDD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textAlignment w:val="auto"/>
        <w:rPr>
          <w:rFonts w:hint="eastAsia" w:ascii="方正黑体_GBK" w:hAnsi="方正黑体_GBK" w:eastAsia="方正黑体_GBK" w:cs="方正黑体_GBK"/>
          <w:b w:val="0"/>
          <w:bCs/>
          <w:sz w:val="32"/>
          <w:szCs w:val="32"/>
          <w:shd w:val="clear" w:fill="FFFFFF"/>
          <w:lang w:val="en-US" w:eastAsia="zh-CN" w:bidi="ar-SA"/>
        </w:rPr>
      </w:pPr>
      <w:r>
        <w:rPr>
          <w:rFonts w:hint="eastAsia" w:ascii="方正黑体_GBK" w:hAnsi="方正黑体_GBK" w:eastAsia="方正黑体_GBK" w:cs="方正黑体_GBK"/>
          <w:b w:val="0"/>
          <w:bCs/>
          <w:sz w:val="32"/>
          <w:szCs w:val="32"/>
          <w:shd w:val="clear" w:fill="FFFFFF"/>
          <w:lang w:val="en-US" w:eastAsia="zh-CN" w:bidi="ar-SA"/>
        </w:rPr>
        <w:t>七、决算公开联系方式及信息反馈渠道</w:t>
      </w:r>
    </w:p>
    <w:p w14:paraId="6D55648D">
      <w:pPr>
        <w:pStyle w:val="12"/>
        <w:keepNext w:val="0"/>
        <w:keepLines w:val="0"/>
        <w:pageBreakBefore w:val="0"/>
        <w:widowControl/>
        <w:kinsoku/>
        <w:wordWrap/>
        <w:overflowPunct/>
        <w:topLinePunct w:val="0"/>
        <w:autoSpaceDN/>
        <w:bidi w:val="0"/>
        <w:adjustRightInd/>
        <w:snapToGrid/>
        <w:spacing w:before="0" w:beforeAutospacing="0" w:after="0" w:afterAutospacing="0" w:line="59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D2E420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000000" w:themeColor="text1"/>
          <w:kern w:val="0"/>
          <w:sz w:val="32"/>
          <w:szCs w:val="32"/>
          <w:shd w:val="clear" w:fill="FFFFFF"/>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 xml:space="preserve">联系人：黄有利 </w:t>
      </w:r>
      <w:r>
        <w:rPr>
          <w:rFonts w:hint="eastAsia" w:ascii="方正仿宋_GBK" w:hAnsi="方正仿宋_GBK" w:eastAsia="方正仿宋_GBK" w:cs="方正仿宋_GBK"/>
          <w:color w:val="000000" w:themeColor="text1"/>
          <w:kern w:val="0"/>
          <w:sz w:val="32"/>
          <w:szCs w:val="32"/>
          <w:shd w:val="clear" w:fill="FFFFFF"/>
        </w:rPr>
        <w:t xml:space="preserve">  </w:t>
      </w:r>
      <w:r>
        <w:rPr>
          <w:rFonts w:hint="eastAsia" w:ascii="方正仿宋_GBK" w:hAnsi="方正仿宋_GBK" w:eastAsia="方正仿宋_GBK" w:cs="方正仿宋_GBK"/>
          <w:color w:val="000000" w:themeColor="text1"/>
          <w:kern w:val="0"/>
          <w:sz w:val="32"/>
          <w:szCs w:val="32"/>
          <w:shd w:val="clear" w:fill="FFFFFF"/>
          <w:lang w:val="en-US" w:eastAsia="zh-CN"/>
        </w:rPr>
        <w:t xml:space="preserve">  </w:t>
      </w:r>
      <w:r>
        <w:rPr>
          <w:rFonts w:hint="eastAsia" w:ascii="方正仿宋_GBK" w:hAnsi="方正仿宋_GBK" w:eastAsia="方正仿宋_GBK" w:cs="方正仿宋_GBK"/>
          <w:color w:val="000000" w:themeColor="text1"/>
          <w:kern w:val="0"/>
          <w:sz w:val="32"/>
          <w:szCs w:val="32"/>
          <w:shd w:val="clear" w:fill="FFFFFF"/>
          <w:lang w:eastAsia="zh-CN"/>
        </w:rPr>
        <w:t>联系电话：</w:t>
      </w:r>
      <w:r>
        <w:rPr>
          <w:rFonts w:hint="eastAsia" w:ascii="方正仿宋_GBK" w:hAnsi="方正仿宋_GBK" w:eastAsia="方正仿宋_GBK" w:cs="方正仿宋_GBK"/>
          <w:color w:val="000000" w:themeColor="text1"/>
          <w:kern w:val="0"/>
          <w:sz w:val="32"/>
          <w:szCs w:val="32"/>
          <w:shd w:val="clear" w:fill="FFFFFF"/>
        </w:rPr>
        <w:t xml:space="preserve"> </w:t>
      </w:r>
      <w:r>
        <w:rPr>
          <w:rFonts w:hint="eastAsia" w:ascii="方正仿宋_GBK" w:hAnsi="方正仿宋_GBK" w:eastAsia="方正仿宋_GBK" w:cs="方正仿宋_GBK"/>
          <w:color w:val="000000" w:themeColor="text1"/>
          <w:kern w:val="0"/>
          <w:sz w:val="32"/>
          <w:szCs w:val="32"/>
          <w:shd w:val="clear" w:fill="FFFFFF"/>
          <w:lang w:val="en-US" w:eastAsia="zh-CN"/>
        </w:rPr>
        <w:t>023-40392515</w:t>
      </w:r>
    </w:p>
    <w:p w14:paraId="71945330">
      <w:pPr>
        <w:bidi w:val="0"/>
        <w:rPr>
          <w:rFonts w:hint="default"/>
          <w:lang w:val="en-US" w:eastAsia="zh-CN"/>
        </w:rPr>
      </w:pPr>
    </w:p>
    <w:p w14:paraId="63D31BAE">
      <w:pPr>
        <w:bidi w:val="0"/>
        <w:rPr>
          <w:rFonts w:hint="default"/>
          <w:lang w:val="en-US" w:eastAsia="zh-CN"/>
        </w:rPr>
      </w:pPr>
    </w:p>
    <w:p w14:paraId="5D6E691C">
      <w:pPr>
        <w:bidi w:val="0"/>
        <w:rPr>
          <w:rFonts w:hint="default"/>
          <w:lang w:val="en-US" w:eastAsia="zh-CN"/>
        </w:rPr>
      </w:pPr>
    </w:p>
    <w:p w14:paraId="7BE0D8C4">
      <w:pPr>
        <w:bidi w:val="0"/>
        <w:rPr>
          <w:rFonts w:hint="default"/>
          <w:lang w:val="en-US" w:eastAsia="zh-CN"/>
        </w:rPr>
      </w:pPr>
    </w:p>
    <w:p w14:paraId="4522E99A">
      <w:pPr>
        <w:bidi w:val="0"/>
        <w:rPr>
          <w:rFonts w:hint="default"/>
          <w:lang w:val="en-US" w:eastAsia="zh-CN"/>
        </w:rPr>
      </w:pPr>
    </w:p>
    <w:p w14:paraId="24995F60">
      <w:pPr>
        <w:bidi w:val="0"/>
        <w:rPr>
          <w:rFonts w:hint="default"/>
          <w:lang w:val="en-US" w:eastAsia="zh-CN"/>
        </w:rPr>
      </w:pPr>
    </w:p>
    <w:p w14:paraId="21E5E0E8">
      <w:pPr>
        <w:bidi w:val="0"/>
        <w:rPr>
          <w:rFonts w:hint="default"/>
          <w:lang w:val="en-US" w:eastAsia="zh-CN"/>
        </w:rPr>
      </w:pPr>
    </w:p>
    <w:p w14:paraId="0428EF2C">
      <w:pPr>
        <w:bidi w:val="0"/>
        <w:rPr>
          <w:rFonts w:hint="default"/>
          <w:lang w:val="en-US" w:eastAsia="zh-CN"/>
        </w:rPr>
      </w:pPr>
    </w:p>
    <w:p w14:paraId="30B89EA2">
      <w:pPr>
        <w:bidi w:val="0"/>
        <w:rPr>
          <w:rFonts w:hint="default"/>
          <w:lang w:val="en-US" w:eastAsia="zh-CN"/>
        </w:rPr>
      </w:pPr>
    </w:p>
    <w:p w14:paraId="67A73F0D">
      <w:pPr>
        <w:bidi w:val="0"/>
        <w:rPr>
          <w:rFonts w:hint="default"/>
          <w:lang w:val="en-US" w:eastAsia="zh-CN"/>
        </w:rPr>
      </w:pPr>
    </w:p>
    <w:p w14:paraId="5697DD90">
      <w:pPr>
        <w:bidi w:val="0"/>
        <w:jc w:val="center"/>
        <w:rPr>
          <w:rFonts w:hint="default"/>
          <w:lang w:val="en-US" w:eastAsia="zh-CN"/>
        </w:rPr>
      </w:pPr>
    </w:p>
    <w:sectPr>
      <w:headerReference r:id="rId3" w:type="default"/>
      <w:footerReference r:id="rId4" w:type="default"/>
      <w:footerReference r:id="rId5" w:type="even"/>
      <w:pgSz w:w="11850" w:h="16783"/>
      <w:pgMar w:top="2098" w:right="1474" w:bottom="1984" w:left="1587" w:header="0" w:footer="283"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C271">
    <w:pPr>
      <w:pStyle w:val="3"/>
      <w:jc w:val="both"/>
      <w:rPr>
        <w:rFonts w:hint="default"/>
      </w:rPr>
    </w:pPr>
    <w:r>
      <w:rPr>
        <w:sz w:val="18"/>
      </w:rPr>
      <w:pict>
        <v:shape id="_x0000_s1033" o:spid="_x0000_s1033" o:spt="202" type="#_x0000_t202" style="position:absolute;left:0pt;margin-left:366.45pt;margin-top:-55.8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9EC42BE">
                <w:pPr>
                  <w:pStyle w:val="3"/>
                  <w:keepNext w:val="0"/>
                  <w:keepLines w:val="0"/>
                  <w:pageBreakBefore w:val="0"/>
                  <w:widowControl/>
                  <w:kinsoku/>
                  <w:wordWrap/>
                  <w:overflowPunct/>
                  <w:topLinePunct w:val="0"/>
                  <w:bidi w:val="0"/>
                  <w:adjustRightInd/>
                  <w:snapToGrid w:val="0"/>
                  <w:ind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30EF616">
                <w:pPr>
                  <w:pStyle w:val="3"/>
                  <w:rPr>
                    <w:rFonts w:hint="default"/>
                  </w:rPr>
                </w:pP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59B9904">
                <w:pPr>
                  <w:pStyle w:val="3"/>
                  <w:jc w:val="both"/>
                  <w:rPr>
                    <w:rFonts w:hint="default" w:cs="宋体"/>
                  </w:rPr>
                </w:pPr>
                <w:r>
                  <w:rPr>
                    <w:rFonts w:cs="宋体"/>
                  </w:rPr>
                  <w:t>— 27.1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45558">
    <w:pPr>
      <w:pStyle w:val="3"/>
    </w:pPr>
    <w:r>
      <w:rPr>
        <w:sz w:val="18"/>
      </w:rPr>
      <w:pict>
        <v:shape id="_x0000_s1034" o:spid="_x0000_s1034" o:spt="202" type="#_x0000_t202" style="position:absolute;left:0pt;margin-left:0pt;margin-top:-58.45pt;height:18.85pt;width:80pt;mso-position-horizontal-relative:margin;z-index:251662336;mso-width-relative:page;mso-height-relative:page;" filled="f" stroked="f" coordsize="21600,21600">
          <v:path/>
          <v:fill on="f" focussize="0,0"/>
          <v:stroke on="f"/>
          <v:imagedata o:title=""/>
          <o:lock v:ext="edit" aspectratio="f"/>
          <v:textbox inset="0mm,0mm,0mm,0mm">
            <w:txbxContent>
              <w:p w14:paraId="7CB552C7">
                <w:pPr>
                  <w:pStyle w:val="3"/>
                  <w:keepNext w:val="0"/>
                  <w:keepLines w:val="0"/>
                  <w:pageBreakBefore w:val="0"/>
                  <w:widowControl/>
                  <w:kinsoku/>
                  <w:wordWrap/>
                  <w:overflowPunct/>
                  <w:topLinePunct w:val="0"/>
                  <w:bidi w:val="0"/>
                  <w:adjustRightInd/>
                  <w:snapToGrid w:val="0"/>
                  <w:ind w:left="480" w:lef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293A">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B225A"/>
    <w:multiLevelType w:val="singleLevel"/>
    <w:tmpl w:val="CB1B22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7165B7"/>
    <w:rsid w:val="01F3521E"/>
    <w:rsid w:val="03B87EA0"/>
    <w:rsid w:val="03E3214F"/>
    <w:rsid w:val="044C50BA"/>
    <w:rsid w:val="05BC6D49"/>
    <w:rsid w:val="06194FF1"/>
    <w:rsid w:val="065A7A7D"/>
    <w:rsid w:val="06A2550B"/>
    <w:rsid w:val="06F80EE2"/>
    <w:rsid w:val="07001CCA"/>
    <w:rsid w:val="075678DB"/>
    <w:rsid w:val="077B465F"/>
    <w:rsid w:val="079D7CC7"/>
    <w:rsid w:val="08051BCA"/>
    <w:rsid w:val="0847104E"/>
    <w:rsid w:val="086C12F4"/>
    <w:rsid w:val="08705944"/>
    <w:rsid w:val="08BA052C"/>
    <w:rsid w:val="08DB07BA"/>
    <w:rsid w:val="08DC4C5E"/>
    <w:rsid w:val="0969353F"/>
    <w:rsid w:val="098305D0"/>
    <w:rsid w:val="09B1218B"/>
    <w:rsid w:val="0A3317EA"/>
    <w:rsid w:val="0A5C4B69"/>
    <w:rsid w:val="0A86124A"/>
    <w:rsid w:val="0AB54CC0"/>
    <w:rsid w:val="0B8B23AB"/>
    <w:rsid w:val="0B9335CE"/>
    <w:rsid w:val="0BF2311A"/>
    <w:rsid w:val="0C5A32DA"/>
    <w:rsid w:val="0C7927C4"/>
    <w:rsid w:val="0C9B098C"/>
    <w:rsid w:val="0D673E11"/>
    <w:rsid w:val="0DC363ED"/>
    <w:rsid w:val="0DDA54E4"/>
    <w:rsid w:val="0DEC138B"/>
    <w:rsid w:val="0DFF4F4B"/>
    <w:rsid w:val="0E3A5F83"/>
    <w:rsid w:val="0E5E018D"/>
    <w:rsid w:val="0F4B587D"/>
    <w:rsid w:val="0F836721"/>
    <w:rsid w:val="0FA25D96"/>
    <w:rsid w:val="107374DA"/>
    <w:rsid w:val="107B59E5"/>
    <w:rsid w:val="10CC3887"/>
    <w:rsid w:val="10EC0126"/>
    <w:rsid w:val="10F70B9A"/>
    <w:rsid w:val="111445C7"/>
    <w:rsid w:val="114278C6"/>
    <w:rsid w:val="1158083A"/>
    <w:rsid w:val="11643A4B"/>
    <w:rsid w:val="11ED0F98"/>
    <w:rsid w:val="11F03528"/>
    <w:rsid w:val="124C5450"/>
    <w:rsid w:val="12C921C4"/>
    <w:rsid w:val="13871C70"/>
    <w:rsid w:val="13A71CB4"/>
    <w:rsid w:val="13AF1D43"/>
    <w:rsid w:val="13CE1647"/>
    <w:rsid w:val="13FD55AB"/>
    <w:rsid w:val="14200702"/>
    <w:rsid w:val="14370EA1"/>
    <w:rsid w:val="15A84347"/>
    <w:rsid w:val="163A6CEE"/>
    <w:rsid w:val="173708E3"/>
    <w:rsid w:val="17C374FC"/>
    <w:rsid w:val="180520BE"/>
    <w:rsid w:val="182E4AB6"/>
    <w:rsid w:val="184810EA"/>
    <w:rsid w:val="189079DC"/>
    <w:rsid w:val="189B0D0B"/>
    <w:rsid w:val="18B43F7C"/>
    <w:rsid w:val="191C433B"/>
    <w:rsid w:val="194A1770"/>
    <w:rsid w:val="19B906A4"/>
    <w:rsid w:val="1A0470AE"/>
    <w:rsid w:val="1A1E6B5C"/>
    <w:rsid w:val="1B6F15B6"/>
    <w:rsid w:val="1BAA2EDC"/>
    <w:rsid w:val="1BC42A91"/>
    <w:rsid w:val="1CA55E64"/>
    <w:rsid w:val="1D014A01"/>
    <w:rsid w:val="1D022362"/>
    <w:rsid w:val="1D036806"/>
    <w:rsid w:val="1D1B04B0"/>
    <w:rsid w:val="1DA52501"/>
    <w:rsid w:val="1DAD49C3"/>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7167136"/>
    <w:rsid w:val="271B442C"/>
    <w:rsid w:val="274549EA"/>
    <w:rsid w:val="27B23302"/>
    <w:rsid w:val="29310A5F"/>
    <w:rsid w:val="29C37A35"/>
    <w:rsid w:val="2A076083"/>
    <w:rsid w:val="2A73162E"/>
    <w:rsid w:val="2A76270D"/>
    <w:rsid w:val="2B167953"/>
    <w:rsid w:val="2B200583"/>
    <w:rsid w:val="2B2729C0"/>
    <w:rsid w:val="2B415931"/>
    <w:rsid w:val="2B8209DE"/>
    <w:rsid w:val="2B821C91"/>
    <w:rsid w:val="2BF81A22"/>
    <w:rsid w:val="2C636760"/>
    <w:rsid w:val="2C6762A3"/>
    <w:rsid w:val="2EEC226C"/>
    <w:rsid w:val="2FCA4B37"/>
    <w:rsid w:val="2FE029D7"/>
    <w:rsid w:val="2FF06E00"/>
    <w:rsid w:val="30586FEC"/>
    <w:rsid w:val="305D68FB"/>
    <w:rsid w:val="309C44CA"/>
    <w:rsid w:val="30BE67FD"/>
    <w:rsid w:val="315F0B22"/>
    <w:rsid w:val="31A15828"/>
    <w:rsid w:val="31D84415"/>
    <w:rsid w:val="32285F6F"/>
    <w:rsid w:val="32770556"/>
    <w:rsid w:val="329C0913"/>
    <w:rsid w:val="32AA0460"/>
    <w:rsid w:val="32AA0AAD"/>
    <w:rsid w:val="3337290D"/>
    <w:rsid w:val="33E31118"/>
    <w:rsid w:val="33EF7674"/>
    <w:rsid w:val="342D7BC6"/>
    <w:rsid w:val="352930DB"/>
    <w:rsid w:val="35573069"/>
    <w:rsid w:val="355F6038"/>
    <w:rsid w:val="358C217E"/>
    <w:rsid w:val="36C9128A"/>
    <w:rsid w:val="377208EC"/>
    <w:rsid w:val="37841E99"/>
    <w:rsid w:val="37BF1123"/>
    <w:rsid w:val="38243804"/>
    <w:rsid w:val="383C3F15"/>
    <w:rsid w:val="38BE4696"/>
    <w:rsid w:val="3939115E"/>
    <w:rsid w:val="395B3DCB"/>
    <w:rsid w:val="39B82A39"/>
    <w:rsid w:val="39C42CA8"/>
    <w:rsid w:val="39DC4FD6"/>
    <w:rsid w:val="39F03D7A"/>
    <w:rsid w:val="39F33306"/>
    <w:rsid w:val="39FA30F0"/>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CE63A8"/>
    <w:rsid w:val="4004000C"/>
    <w:rsid w:val="40420B44"/>
    <w:rsid w:val="40760DD1"/>
    <w:rsid w:val="40BD5482"/>
    <w:rsid w:val="411B6CE5"/>
    <w:rsid w:val="412070D7"/>
    <w:rsid w:val="41314E40"/>
    <w:rsid w:val="41E0734B"/>
    <w:rsid w:val="426C1EA8"/>
    <w:rsid w:val="42736402"/>
    <w:rsid w:val="42E86A87"/>
    <w:rsid w:val="43307B09"/>
    <w:rsid w:val="4363143A"/>
    <w:rsid w:val="439A3EB9"/>
    <w:rsid w:val="43BB152F"/>
    <w:rsid w:val="44C37687"/>
    <w:rsid w:val="45617CB7"/>
    <w:rsid w:val="45CB699A"/>
    <w:rsid w:val="46423C66"/>
    <w:rsid w:val="465B470D"/>
    <w:rsid w:val="469519CD"/>
    <w:rsid w:val="469D6AD4"/>
    <w:rsid w:val="471E6C84"/>
    <w:rsid w:val="4748792B"/>
    <w:rsid w:val="475D719D"/>
    <w:rsid w:val="47674801"/>
    <w:rsid w:val="47CC5958"/>
    <w:rsid w:val="48225EF7"/>
    <w:rsid w:val="488F422B"/>
    <w:rsid w:val="48E36915"/>
    <w:rsid w:val="48EB6572"/>
    <w:rsid w:val="495C4A24"/>
    <w:rsid w:val="497135DF"/>
    <w:rsid w:val="49F11BF3"/>
    <w:rsid w:val="4A263DF2"/>
    <w:rsid w:val="4A2F278B"/>
    <w:rsid w:val="4A6F6675"/>
    <w:rsid w:val="4B135857"/>
    <w:rsid w:val="4B640B02"/>
    <w:rsid w:val="4B7951CB"/>
    <w:rsid w:val="4B7C315C"/>
    <w:rsid w:val="4BDE0E92"/>
    <w:rsid w:val="4C210DF5"/>
    <w:rsid w:val="4D1F53CA"/>
    <w:rsid w:val="4DAC4ACA"/>
    <w:rsid w:val="4DBE01D2"/>
    <w:rsid w:val="4DC97B82"/>
    <w:rsid w:val="4EFD467F"/>
    <w:rsid w:val="4F0C6BA3"/>
    <w:rsid w:val="4F186D58"/>
    <w:rsid w:val="4F6D64E5"/>
    <w:rsid w:val="4FFC2A3E"/>
    <w:rsid w:val="504B6EAA"/>
    <w:rsid w:val="50F06B6E"/>
    <w:rsid w:val="51D21804"/>
    <w:rsid w:val="52234D33"/>
    <w:rsid w:val="522F6E0C"/>
    <w:rsid w:val="52463BA1"/>
    <w:rsid w:val="524858C8"/>
    <w:rsid w:val="52F163D4"/>
    <w:rsid w:val="531A2DB4"/>
    <w:rsid w:val="534466CA"/>
    <w:rsid w:val="53C0244D"/>
    <w:rsid w:val="53C92673"/>
    <w:rsid w:val="53DD4D4E"/>
    <w:rsid w:val="53E578CE"/>
    <w:rsid w:val="541330F0"/>
    <w:rsid w:val="54272666"/>
    <w:rsid w:val="543B029D"/>
    <w:rsid w:val="54861779"/>
    <w:rsid w:val="55084A4C"/>
    <w:rsid w:val="552256E1"/>
    <w:rsid w:val="554E5773"/>
    <w:rsid w:val="55564ED5"/>
    <w:rsid w:val="555829E0"/>
    <w:rsid w:val="555A3CBC"/>
    <w:rsid w:val="5582012B"/>
    <w:rsid w:val="558E4E05"/>
    <w:rsid w:val="55BE2E85"/>
    <w:rsid w:val="56530F5D"/>
    <w:rsid w:val="567700D3"/>
    <w:rsid w:val="56FF7E9E"/>
    <w:rsid w:val="578867FC"/>
    <w:rsid w:val="582632A6"/>
    <w:rsid w:val="5842572D"/>
    <w:rsid w:val="589917F1"/>
    <w:rsid w:val="5A3B59D6"/>
    <w:rsid w:val="5AD134D8"/>
    <w:rsid w:val="5B6C254A"/>
    <w:rsid w:val="5BF41F67"/>
    <w:rsid w:val="5C263CE4"/>
    <w:rsid w:val="5C525B41"/>
    <w:rsid w:val="5C5D2777"/>
    <w:rsid w:val="5CF66BF3"/>
    <w:rsid w:val="5D290C69"/>
    <w:rsid w:val="5DA80C2C"/>
    <w:rsid w:val="5EE9424D"/>
    <w:rsid w:val="5F2D4A41"/>
    <w:rsid w:val="60C74F6C"/>
    <w:rsid w:val="60FB02E9"/>
    <w:rsid w:val="61015958"/>
    <w:rsid w:val="61025A59"/>
    <w:rsid w:val="6131590C"/>
    <w:rsid w:val="613D5BBC"/>
    <w:rsid w:val="61536C39"/>
    <w:rsid w:val="61EE5FDE"/>
    <w:rsid w:val="62944DD7"/>
    <w:rsid w:val="6319381F"/>
    <w:rsid w:val="63C25DC5"/>
    <w:rsid w:val="63C62057"/>
    <w:rsid w:val="64571EF5"/>
    <w:rsid w:val="64FB113D"/>
    <w:rsid w:val="656152C6"/>
    <w:rsid w:val="6587477F"/>
    <w:rsid w:val="658C3A08"/>
    <w:rsid w:val="659D21F5"/>
    <w:rsid w:val="65C031CA"/>
    <w:rsid w:val="65CE6852"/>
    <w:rsid w:val="65E878E7"/>
    <w:rsid w:val="66267C04"/>
    <w:rsid w:val="663F505A"/>
    <w:rsid w:val="666C2D2F"/>
    <w:rsid w:val="66AF5D7C"/>
    <w:rsid w:val="66EE5541"/>
    <w:rsid w:val="674607BB"/>
    <w:rsid w:val="6775318F"/>
    <w:rsid w:val="67924660"/>
    <w:rsid w:val="68217FD1"/>
    <w:rsid w:val="68407834"/>
    <w:rsid w:val="6883293E"/>
    <w:rsid w:val="688412AD"/>
    <w:rsid w:val="68EB1B71"/>
    <w:rsid w:val="696C0310"/>
    <w:rsid w:val="69BE0DE5"/>
    <w:rsid w:val="6A6C7940"/>
    <w:rsid w:val="6A8919DC"/>
    <w:rsid w:val="6A9F1565"/>
    <w:rsid w:val="6AAD2300"/>
    <w:rsid w:val="6B474EF5"/>
    <w:rsid w:val="6B785296"/>
    <w:rsid w:val="6BC938E5"/>
    <w:rsid w:val="6C0A5AC5"/>
    <w:rsid w:val="6C360CAD"/>
    <w:rsid w:val="6C560CAE"/>
    <w:rsid w:val="6C576495"/>
    <w:rsid w:val="6CFB0529"/>
    <w:rsid w:val="6D903FF5"/>
    <w:rsid w:val="6DA955B8"/>
    <w:rsid w:val="6DE346AB"/>
    <w:rsid w:val="6DE5391A"/>
    <w:rsid w:val="6E533A09"/>
    <w:rsid w:val="6E7F628C"/>
    <w:rsid w:val="6EE703ED"/>
    <w:rsid w:val="6EFD1324"/>
    <w:rsid w:val="6F5A53AC"/>
    <w:rsid w:val="6F5F516E"/>
    <w:rsid w:val="6FAC003D"/>
    <w:rsid w:val="6FD926BF"/>
    <w:rsid w:val="6FE55E12"/>
    <w:rsid w:val="6FE73160"/>
    <w:rsid w:val="6FFB2E76"/>
    <w:rsid w:val="701D01BA"/>
    <w:rsid w:val="708F6F7F"/>
    <w:rsid w:val="70D94BD3"/>
    <w:rsid w:val="71574775"/>
    <w:rsid w:val="71C34D91"/>
    <w:rsid w:val="72DB435C"/>
    <w:rsid w:val="72E2613A"/>
    <w:rsid w:val="72F771F4"/>
    <w:rsid w:val="73934AD2"/>
    <w:rsid w:val="750837F0"/>
    <w:rsid w:val="750D20E7"/>
    <w:rsid w:val="754758CF"/>
    <w:rsid w:val="75595ECD"/>
    <w:rsid w:val="764F62AB"/>
    <w:rsid w:val="765C45EC"/>
    <w:rsid w:val="766B457D"/>
    <w:rsid w:val="768A7619"/>
    <w:rsid w:val="76BD23AB"/>
    <w:rsid w:val="7717164C"/>
    <w:rsid w:val="772E1EBA"/>
    <w:rsid w:val="781926BC"/>
    <w:rsid w:val="784852A3"/>
    <w:rsid w:val="79546CFF"/>
    <w:rsid w:val="796D60A4"/>
    <w:rsid w:val="799675D9"/>
    <w:rsid w:val="79A031D5"/>
    <w:rsid w:val="79B47FDF"/>
    <w:rsid w:val="79E569A9"/>
    <w:rsid w:val="7A1525F7"/>
    <w:rsid w:val="7B420052"/>
    <w:rsid w:val="7B5F269D"/>
    <w:rsid w:val="7BD06A28"/>
    <w:rsid w:val="7C3A7C0B"/>
    <w:rsid w:val="7C5248E4"/>
    <w:rsid w:val="7C554474"/>
    <w:rsid w:val="7C566698"/>
    <w:rsid w:val="7C5866A3"/>
    <w:rsid w:val="7D344D95"/>
    <w:rsid w:val="7D7406BB"/>
    <w:rsid w:val="7DE94331"/>
    <w:rsid w:val="7E2045FF"/>
    <w:rsid w:val="7E7E72CD"/>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textRotate="1"/>
    <customShpInfo spid="_x0000_s1032"/>
    <customShpInfo spid="_x0000_s1031"/>
    <customShpInfo spid="_x0000_s103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4390</Words>
  <Characters>5028</Characters>
  <Lines>186</Lines>
  <Paragraphs>52</Paragraphs>
  <TotalTime>3</TotalTime>
  <ScaleCrop>false</ScaleCrop>
  <LinksUpToDate>false</LinksUpToDate>
  <CharactersWithSpaces>5068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黄有利</cp:lastModifiedBy>
  <dcterms:modified xsi:type="dcterms:W3CDTF">2025-10-11T08:33:09Z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eyJoZGlkIjoiMmMzN2NiODc5MTE5MjU0YWM2MTcyZDAxZDEyMDQ1MWQiLCJ1c2VySWQiOiIxNzIzMTk5NDE4In0=</vt:lpwstr>
  </property>
</Properties>
</file>