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OLE_LINK2"/>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重庆市长寿区卫生应急中心</w:t>
      </w:r>
    </w:p>
    <w:p>
      <w:pPr>
        <w:pStyle w:val="7"/>
        <w:keepNext w:val="0"/>
        <w:keepLines w:val="0"/>
        <w:pageBreakBefore w:val="0"/>
        <w:widowControl w:val="0"/>
        <w:kinsoku/>
        <w:wordWrap/>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一、</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（一）职能职责</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依法组织协调全区有关突发公共卫生事件应急处理工作。</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指导与协调有关部门和机构做好卫生应急物资的储备和管理工作，组织开展突发重大人员伤亡事故的紧急医疗救护工作。</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承担卫生应急知识宣传工作，提高公众卫生应急知识和自救互救能力。</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建立并完善院前急救体系，组织和指导医疗机构开展院前急救培训和演练，承担120调度指挥工作。</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依法指导、监督医疗机构的应急管理以及医疗纠纷的预防和处置工作。</w:t>
      </w:r>
    </w:p>
    <w:p>
      <w:pPr>
        <w:snapToGrid w:val="0"/>
        <w:spacing w:line="520" w:lineRule="exact"/>
        <w:ind w:firstLine="640" w:firstLineChars="200"/>
        <w:jc w:val="both"/>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完成上级交办的其他任务。</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420"/>
        <w:jc w:val="both"/>
        <w:rPr>
          <w:rFonts w:hint="default" w:ascii="Times New Roman" w:hAnsi="Times New Roman" w:eastAsia="楷体"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（二）机构设置</w:t>
      </w:r>
    </w:p>
    <w:p>
      <w:pPr>
        <w:keepNext w:val="0"/>
        <w:keepLines w:val="0"/>
        <w:pageBreakBefore w:val="0"/>
        <w:widowControl w:val="0"/>
        <w:kinsoku/>
        <w:wordWrap/>
        <w:overflowPunct/>
        <w:topLinePunct w:val="0"/>
        <w:autoSpaceDN/>
        <w:bidi w:val="0"/>
        <w:adjustRightInd/>
        <w:snapToGrid w:val="0"/>
        <w:spacing w:line="520" w:lineRule="exact"/>
        <w:ind w:firstLine="640"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重庆市长寿区卫生应急中心是区卫生健康委所属的正科级全额拨款事业单位，单位内无内设科室。</w:t>
      </w:r>
      <w:r>
        <w:rPr>
          <w:rStyle w:val="11"/>
          <w:rFonts w:hint="eastAsia" w:ascii="方正仿宋_GBK" w:hAnsi="方正仿宋_GBK" w:eastAsia="方正仿宋_GBK" w:cs="方正仿宋_GBK"/>
          <w:b w:val="0"/>
          <w:bCs w:val="0"/>
          <w:sz w:val="32"/>
          <w:szCs w:val="32"/>
          <w:shd w:val="clear" w:color="auto" w:fill="FFFFFF"/>
        </w:rPr>
        <w:t>本单位无下级预算单位。</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二、</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决算</w:t>
      </w:r>
      <w:r>
        <w:rPr>
          <w:rStyle w:val="11"/>
          <w:rFonts w:hint="default" w:ascii="Times New Roman" w:hAnsi="Times New Roman" w:eastAsia="黑体" w:cs="Times New Roman"/>
          <w:b w:val="0"/>
          <w:bCs w:val="0"/>
          <w:sz w:val="32"/>
          <w:szCs w:val="32"/>
          <w:shd w:val="clear" w:color="auto" w:fill="FFFFFF"/>
          <w:lang w:eastAsia="zh-CN"/>
        </w:rPr>
        <w:t>收支</w:t>
      </w:r>
      <w:r>
        <w:rPr>
          <w:rStyle w:val="11"/>
          <w:rFonts w:hint="default" w:ascii="Times New Roman" w:hAnsi="Times New Roman" w:eastAsia="黑体" w:cs="Times New Roman"/>
          <w:b w:val="0"/>
          <w:bCs w:val="0"/>
          <w:sz w:val="32"/>
          <w:szCs w:val="32"/>
          <w:shd w:val="clear" w:color="auto" w:fill="FFFFFF"/>
        </w:rPr>
        <w:t>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eastAsia" w:ascii="Times New Roman" w:hAnsi="Times New Roman" w:eastAsia="楷体" w:cs="Times New Roman"/>
          <w:b w:val="0"/>
          <w:bCs w:val="0"/>
          <w:sz w:val="32"/>
          <w:szCs w:val="32"/>
          <w:shd w:val="clear" w:color="auto" w:fill="FFFFFF"/>
          <w:lang w:eastAsia="zh-CN"/>
        </w:rPr>
      </w:pPr>
      <w:r>
        <w:rPr>
          <w:rFonts w:hint="default" w:ascii="Times New Roman" w:hAnsi="Times New Roman" w:eastAsia="楷体" w:cs="Times New Roman"/>
          <w:b w:val="0"/>
          <w:bCs w:val="0"/>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度收入总计109.33万元，支出总计</w:t>
      </w:r>
      <w:r>
        <w:rPr>
          <w:rFonts w:hint="default" w:ascii="Times New Roman" w:hAnsi="Times New Roman" w:eastAsia="方正仿宋_GBK" w:cs="Times New Roman"/>
          <w:b w:val="0"/>
          <w:bCs w:val="0"/>
          <w:sz w:val="32"/>
          <w:szCs w:val="32"/>
        </w:rPr>
        <w:t>109.33</w:t>
      </w:r>
      <w:r>
        <w:rPr>
          <w:rFonts w:hint="default" w:ascii="Times New Roman" w:hAnsi="Times New Roman" w:eastAsia="方正仿宋_GBK" w:cs="Times New Roman"/>
          <w:b w:val="0"/>
          <w:bCs w:val="0"/>
          <w:sz w:val="32"/>
          <w:szCs w:val="32"/>
          <w:shd w:val="clear" w:color="auto" w:fill="FFFFFF"/>
        </w:rPr>
        <w:t>万元。收、支与2023年度相比，增加109.33万元，增长100.0%，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度收入合计109.33万元，与2023年度相比，增加109.33万元，增长100.0%，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109.33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109.33</w:t>
      </w:r>
      <w:r>
        <w:rPr>
          <w:rFonts w:hint="default" w:ascii="Times New Roman" w:hAnsi="Times New Roman" w:eastAsia="方正仿宋_GBK" w:cs="Times New Roman"/>
          <w:b w:val="0"/>
          <w:bCs w:val="0"/>
          <w:sz w:val="32"/>
          <w:szCs w:val="32"/>
          <w:shd w:val="clear" w:color="auto" w:fill="FFFFFF"/>
        </w:rPr>
        <w:t>万元，与2023年度相比，增加109.33万元，增长100.0%，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99.33</w:t>
      </w:r>
      <w:r>
        <w:rPr>
          <w:rFonts w:hint="default" w:ascii="Times New Roman" w:hAnsi="Times New Roman" w:eastAsia="方正仿宋_GBK" w:cs="Times New Roman"/>
          <w:b w:val="0"/>
          <w:bCs w:val="0"/>
          <w:sz w:val="32"/>
          <w:szCs w:val="32"/>
          <w:shd w:val="clear" w:color="auto" w:fill="FFFFFF"/>
        </w:rPr>
        <w:t>万元，占90.9%；项目支出</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万元，占9.</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%；经营支出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万元，占0.0%。此外，结余分配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度财政拨款收、支总计109.33万元。与202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年相比，财政拨款收、支总计各增加109.33万元，增长100.0%。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99.33</w:t>
      </w:r>
      <w:r>
        <w:rPr>
          <w:rFonts w:hint="default" w:ascii="Times New Roman" w:hAnsi="Times New Roman" w:eastAsia="方正仿宋_GBK" w:cs="Times New Roman"/>
          <w:b w:val="0"/>
          <w:bCs w:val="0"/>
          <w:sz w:val="32"/>
          <w:szCs w:val="32"/>
          <w:shd w:val="clear" w:color="auto" w:fill="FFFFFF"/>
        </w:rPr>
        <w:t>万元，与2023年度相比，增加99.33万元，增长100.0%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较年初预算数减少7.1万元，下降6.7%</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99.33</w:t>
      </w:r>
      <w:r>
        <w:rPr>
          <w:rFonts w:hint="default" w:ascii="Times New Roman" w:hAnsi="Times New Roman" w:eastAsia="方正仿宋_GBK" w:cs="Times New Roman"/>
          <w:b w:val="0"/>
          <w:bCs w:val="0"/>
          <w:sz w:val="32"/>
          <w:szCs w:val="32"/>
          <w:shd w:val="clear" w:color="auto" w:fill="FFFFFF"/>
        </w:rPr>
        <w:t>万元，与2023年度相比，增加99.33万元，增长100.0%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w:t>
      </w:r>
      <w:bookmarkStart w:id="2" w:name="_GoBack"/>
      <w:bookmarkEnd w:id="2"/>
      <w:r>
        <w:rPr>
          <w:rFonts w:hint="default" w:ascii="Times New Roman" w:hAnsi="Times New Roman" w:eastAsia="方正仿宋_GBK" w:cs="Times New Roman"/>
          <w:b w:val="0"/>
          <w:bCs w:val="0"/>
          <w:sz w:val="32"/>
          <w:szCs w:val="32"/>
          <w:shd w:val="clear" w:color="auto" w:fill="FFFFFF"/>
        </w:rPr>
        <w:t>少7.1万元，下降6.7%</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Style w:val="11"/>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1"/>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0.57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0.6%</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14.42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14.5%</w:t>
      </w:r>
      <w:r>
        <w:rPr>
          <w:rFonts w:hint="default" w:ascii="Times New Roman" w:hAnsi="Times New Roman" w:eastAsia="方正仿宋_GBK" w:cs="Times New Roman"/>
          <w:b w:val="0"/>
          <w:bCs w:val="0"/>
          <w:sz w:val="32"/>
          <w:szCs w:val="32"/>
          <w:shd w:val="clear" w:color="auto" w:fill="FFFFFF"/>
        </w:rPr>
        <w:t>，较年初预算数增加5.27万元，增长57.6%，主要原因是</w:t>
      </w:r>
      <w:r>
        <w:rPr>
          <w:rFonts w:hint="eastAsia" w:ascii="Times New Roman" w:hAnsi="Times New Roman" w:eastAsia="方正仿宋_GBK" w:cs="Times New Roman"/>
          <w:b w:val="0"/>
          <w:bCs w:val="0"/>
          <w:color w:val="auto"/>
          <w:sz w:val="32"/>
          <w:szCs w:val="32"/>
          <w:shd w:val="clear" w:color="auto" w:fill="FFFFFF"/>
          <w:lang w:val="en-US" w:eastAsia="zh-CN"/>
        </w:rPr>
        <w:t>2024年事业人员超额绩效纳入了养老保险核算基数，从而补缴了追加的养老保险。</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79.51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80.1%</w:t>
      </w:r>
      <w:r>
        <w:rPr>
          <w:rFonts w:hint="default" w:ascii="Times New Roman" w:hAnsi="Times New Roman" w:eastAsia="方正仿宋_GBK" w:cs="Times New Roman"/>
          <w:b w:val="0"/>
          <w:bCs w:val="0"/>
          <w:sz w:val="32"/>
          <w:szCs w:val="32"/>
          <w:shd w:val="clear" w:color="auto" w:fill="FFFFFF"/>
        </w:rPr>
        <w:t>，较年初预算数减少12.62万元，下降13.7%，</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w:t>
      </w:r>
      <w:r>
        <w:rPr>
          <w:rFonts w:hint="default" w:ascii="Times New Roman" w:hAnsi="Times New Roman" w:eastAsia="方正仿宋_GBK" w:cs="Times New Roman"/>
          <w:bCs/>
          <w:sz w:val="32"/>
          <w:szCs w:val="32"/>
          <w:lang w:val="en-US" w:eastAsia="zh-CN"/>
        </w:rPr>
        <w:t>单位2024年机构改革合并到长寿区卫生健康服务中心，2024年11—12月</w:t>
      </w:r>
      <w:r>
        <w:rPr>
          <w:rFonts w:hint="default" w:ascii="Times New Roman" w:hAnsi="Times New Roman" w:eastAsia="方正仿宋_GBK" w:cs="Times New Roman"/>
          <w:bCs/>
          <w:sz w:val="32"/>
          <w:szCs w:val="32"/>
        </w:rPr>
        <w:t>基本工资</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津贴补贴、健康休养费等在长寿区卫生健康服务中心发放，财政</w:t>
      </w:r>
      <w:r>
        <w:rPr>
          <w:rFonts w:hint="eastAsia" w:ascii="Times New Roman" w:hAnsi="Times New Roman" w:eastAsia="方正仿宋_GBK" w:cs="Times New Roman"/>
          <w:bCs/>
          <w:sz w:val="32"/>
          <w:szCs w:val="32"/>
          <w:lang w:val="en-US" w:eastAsia="zh-CN"/>
        </w:rPr>
        <w:t>在</w:t>
      </w:r>
      <w:r>
        <w:rPr>
          <w:rFonts w:hint="default" w:ascii="Times New Roman" w:hAnsi="Times New Roman" w:eastAsia="方正仿宋_GBK" w:cs="Times New Roman"/>
          <w:bCs/>
          <w:sz w:val="32"/>
          <w:szCs w:val="32"/>
        </w:rPr>
        <w:t>增资调资</w:t>
      </w:r>
      <w:r>
        <w:rPr>
          <w:rFonts w:hint="eastAsia" w:ascii="Times New Roman" w:hAnsi="Times New Roman" w:eastAsia="方正仿宋_GBK" w:cs="Times New Roman"/>
          <w:bCs/>
          <w:sz w:val="32"/>
          <w:szCs w:val="32"/>
          <w:lang w:eastAsia="zh-CN"/>
        </w:rPr>
        <w:t>中追减预算。</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住房保障支出4.83</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w:t>
      </w:r>
      <w:r>
        <w:rPr>
          <w:rFonts w:hint="eastAsia"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，较年初预算数增加0.26万元，增长5.7%，主要原因是</w:t>
      </w:r>
      <w:r>
        <w:rPr>
          <w:rFonts w:hint="eastAsia" w:ascii="Times New Roman" w:hAnsi="Times New Roman" w:eastAsia="方正仿宋_GBK" w:cs="Times New Roman"/>
          <w:b w:val="0"/>
          <w:bCs w:val="0"/>
          <w:sz w:val="32"/>
          <w:szCs w:val="32"/>
          <w:shd w:val="clear" w:color="auto" w:fill="FFFFFF"/>
          <w:lang w:eastAsia="zh-CN"/>
        </w:rPr>
        <w:t>人员增资调资后，财政追加了预算。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99.33</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89.48</w:t>
      </w:r>
      <w:r>
        <w:rPr>
          <w:rFonts w:hint="default" w:ascii="Times New Roman" w:hAnsi="Times New Roman" w:eastAsia="方正仿宋_GBK" w:cs="Times New Roman"/>
          <w:b w:val="0"/>
          <w:bCs w:val="0"/>
          <w:sz w:val="32"/>
          <w:szCs w:val="32"/>
          <w:shd w:val="clear" w:color="auto" w:fill="FFFFFF"/>
        </w:rPr>
        <w:t>万元，与2023年度相比，增加89.48万元，增长100.0%，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9.85</w:t>
      </w:r>
      <w:r>
        <w:rPr>
          <w:rFonts w:hint="default" w:ascii="Times New Roman" w:hAnsi="Times New Roman" w:eastAsia="方正仿宋_GBK" w:cs="Times New Roman"/>
          <w:b w:val="0"/>
          <w:bCs w:val="0"/>
          <w:sz w:val="32"/>
          <w:szCs w:val="32"/>
          <w:shd w:val="clear" w:color="auto" w:fill="FFFFFF"/>
        </w:rPr>
        <w:t>万元，与2023年度相比，增加9.85万元，增长100.0%，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办公费、资料印刷费、差旅费、培训费、劳务费、委托业务费和其他商品服务支出等。</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w:t>
      </w:r>
      <w:r>
        <w:rPr>
          <w:rFonts w:hint="eastAsia"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10</w:t>
      </w:r>
      <w:r>
        <w:rPr>
          <w:rFonts w:hint="default" w:ascii="Times New Roman" w:hAnsi="Times New Roman" w:eastAsia="方正仿宋_GBK" w:cs="Times New Roman"/>
          <w:b w:val="0"/>
          <w:bCs w:val="0"/>
          <w:sz w:val="32"/>
          <w:szCs w:val="32"/>
          <w:shd w:val="clear" w:color="auto" w:fill="FFFFFF"/>
        </w:rPr>
        <w:t>万元，与2023年度相比，增加10万元，增长100.0%，主要原因是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auto"/>
        </w:rPr>
        <w:t>本单位</w:t>
      </w:r>
      <w:r>
        <w:rPr>
          <w:rStyle w:val="11"/>
          <w:rFonts w:hint="default" w:ascii="Times New Roman" w:hAnsi="Times New Roman" w:eastAsia="方正仿宋_GBK" w:cs="Times New Roman"/>
          <w:b w:val="0"/>
          <w:bCs w:val="0"/>
          <w:sz w:val="32"/>
          <w:szCs w:val="32"/>
          <w:shd w:val="clear" w:color="auto" w:fill="auto"/>
          <w:lang w:eastAsia="zh-CN"/>
        </w:rPr>
        <w:t>2024年</w:t>
      </w:r>
      <w:r>
        <w:rPr>
          <w:rStyle w:val="11"/>
          <w:rFonts w:hint="default" w:ascii="Times New Roman" w:hAnsi="Times New Roman" w:eastAsia="方正仿宋_GBK" w:cs="Times New Roman"/>
          <w:b w:val="0"/>
          <w:bCs w:val="0"/>
          <w:sz w:val="32"/>
          <w:szCs w:val="32"/>
          <w:shd w:val="clear" w:color="auto" w:fill="auto"/>
        </w:rPr>
        <w:t>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三、</w:t>
      </w:r>
      <w:r>
        <w:rPr>
          <w:rStyle w:val="11"/>
          <w:rFonts w:hint="default" w:ascii="Times New Roman" w:hAnsi="Times New Roman" w:eastAsia="黑体" w:cs="Times New Roman"/>
          <w:b w:val="0"/>
          <w:bCs w:val="0"/>
          <w:sz w:val="32"/>
          <w:szCs w:val="32"/>
          <w:shd w:val="clear" w:color="auto" w:fill="FFFFFF"/>
          <w:lang w:eastAsia="zh-CN"/>
        </w:rPr>
        <w:t>财政拨款</w:t>
      </w:r>
      <w:r>
        <w:rPr>
          <w:rStyle w:val="11"/>
          <w:rFonts w:hint="default" w:ascii="Times New Roman" w:hAnsi="Times New Roman" w:eastAsia="黑体" w:cs="Times New Roman"/>
          <w:b w:val="0"/>
          <w:bCs w:val="0"/>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eastAsia"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bookmarkStart w:id="1" w:name="OLE_LINK1"/>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bookmarkEnd w:id="1"/>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highlight w:val="none"/>
          <w:shd w:val="clear" w:color="auto" w:fill="FFFFFF"/>
        </w:rPr>
        <w:t>公务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车运行维</w:t>
      </w:r>
      <w:r>
        <w:rPr>
          <w:rFonts w:hint="default" w:ascii="Times New Roman" w:hAnsi="Times New Roman" w:eastAsia="方正仿宋_GBK" w:cs="Times New Roman"/>
          <w:b w:val="0"/>
          <w:bCs w:val="0"/>
          <w:sz w:val="32"/>
          <w:szCs w:val="32"/>
          <w:shd w:val="clear" w:color="auto" w:fill="FFFFFF"/>
        </w:rPr>
        <w:t>护费</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0.57</w:t>
      </w:r>
      <w:r>
        <w:rPr>
          <w:rFonts w:hint="default" w:ascii="Times New Roman" w:hAnsi="Times New Roman" w:eastAsia="方正仿宋_GBK" w:cs="Times New Roman"/>
          <w:b w:val="0"/>
          <w:bCs w:val="0"/>
          <w:sz w:val="32"/>
          <w:szCs w:val="32"/>
          <w:shd w:val="clear" w:color="auto" w:fill="FFFFFF"/>
        </w:rPr>
        <w:t>万元，与2023年度相比，增加0.57万元，增长100.0%，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17"/>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根据预算绩效管理要求，我单位对1个项目开展了绩效自评，涉及财政拨款项目支出资金10万元。</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1"/>
          <w:rFonts w:hint="default" w:ascii="Times New Roman" w:hAnsi="Times New Roman" w:eastAsia="方正仿宋_GBK" w:cs="Times New Roman"/>
          <w:b w:val="0"/>
          <w:bCs w:val="0"/>
          <w:sz w:val="32"/>
          <w:szCs w:val="32"/>
          <w:highlight w:val="none"/>
          <w:shd w:val="clear" w:color="auto" w:fill="FFFFFF"/>
        </w:rPr>
      </w:pPr>
      <w:r>
        <w:rPr>
          <w:rStyle w:val="11"/>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仿宋_GBK" w:cs="Times New Roman"/>
          <w:b w:val="0"/>
          <w:bCs w:val="0"/>
          <w:sz w:val="32"/>
          <w:szCs w:val="32"/>
          <w:shd w:val="clear" w:fill="FFFFFF"/>
        </w:rPr>
        <w:t xml:space="preserve"> </w:t>
      </w:r>
      <w:r>
        <w:rPr>
          <w:rStyle w:val="14"/>
          <w:rFonts w:hint="default" w:ascii="Times New Roman" w:hAnsi="Times New Roman" w:eastAsia="方正仿宋_GBK" w:cs="Times New Roman"/>
          <w:b w:val="0"/>
          <w:bCs w:val="0"/>
          <w:sz w:val="32"/>
          <w:szCs w:val="32"/>
          <w:shd w:val="clear" w:fill="FFFFFF"/>
          <w:lang w:val="en-US" w:eastAsia="zh-CN"/>
        </w:rPr>
        <w:t xml:space="preserve">  </w:t>
      </w:r>
      <w:r>
        <w:rPr>
          <w:rStyle w:val="11"/>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cs="Times New Roman"/>
          <w:b w:val="0"/>
          <w:bCs w:val="0"/>
          <w:sz w:val="18"/>
          <w:szCs w:val="18"/>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bookmarkEnd w:id="0"/>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5854CC1"/>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UserStyle_0"/>
    <w:uiPriority w:val="0"/>
    <w:pPr>
      <w:textAlignment w:val="baseline"/>
    </w:pPr>
    <w:rPr>
      <w:rFonts w:ascii="仿宋_GB2312" w:hAnsi="Calibri" w:eastAsia="仿宋_GB2312" w:cs="Times New Roman"/>
      <w:color w:val="000000"/>
      <w:sz w:val="24"/>
      <w:szCs w:val="24"/>
      <w:lang w:val="en-US" w:eastAsia="zh-CN"/>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8</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2025-10-11T03:15:53Z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