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720" w:firstLineChars="200"/>
        <w:jc w:val="both"/>
        <w:textAlignment w:val="auto"/>
        <w:rPr>
          <w:rFonts w:hint="default" w:ascii="Times New Roman" w:hAnsi="Times New Roman" w:eastAsia="方正小标宋_GBK" w:cs="Times New Roman"/>
          <w:b w:val="0"/>
          <w:bCs w:val="0"/>
          <w:sz w:val="36"/>
          <w:szCs w:val="36"/>
          <w:lang w:val="en-US" w:eastAsia="zh-CN"/>
        </w:rPr>
      </w:pPr>
      <w:bookmarkStart w:id="0" w:name="OLE_LINK2"/>
    </w:p>
    <w:p>
      <w:pPr>
        <w:pStyle w:val="8"/>
        <w:keepNext w:val="0"/>
        <w:keepLines w:val="0"/>
        <w:pageBreakBefore w:val="0"/>
        <w:widowControl w:val="0"/>
        <w:kinsoku/>
        <w:wordWrap/>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重庆市长寿区卫生健康委员会信息中心</w:t>
      </w:r>
    </w:p>
    <w:p>
      <w:pPr>
        <w:pStyle w:val="8"/>
        <w:keepNext w:val="0"/>
        <w:keepLines w:val="0"/>
        <w:pageBreakBefore w:val="0"/>
        <w:widowControl w:val="0"/>
        <w:kinsoku/>
        <w:wordWrap/>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2"/>
          <w:rFonts w:hint="default" w:ascii="Times New Roman" w:hAnsi="Times New Roman" w:eastAsia="黑体" w:cs="Times New Roman"/>
          <w:b w:val="0"/>
          <w:bCs w:val="0"/>
          <w:sz w:val="32"/>
          <w:szCs w:val="32"/>
          <w:shd w:val="clear" w:color="auto" w:fill="FFFFFF"/>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2"/>
          <w:rFonts w:hint="default" w:ascii="Times New Roman" w:hAnsi="Times New Roman" w:eastAsia="黑体" w:cs="Times New Roman"/>
          <w:b w:val="0"/>
          <w:bCs w:val="0"/>
          <w:sz w:val="32"/>
          <w:szCs w:val="32"/>
          <w:shd w:val="clear" w:color="auto" w:fill="FFFFFF"/>
        </w:rPr>
      </w:pPr>
      <w:r>
        <w:rPr>
          <w:rStyle w:val="12"/>
          <w:rFonts w:hint="default" w:ascii="Times New Roman" w:hAnsi="Times New Roman" w:eastAsia="黑体" w:cs="Times New Roman"/>
          <w:b w:val="0"/>
          <w:bCs w:val="0"/>
          <w:sz w:val="32"/>
          <w:szCs w:val="32"/>
          <w:shd w:val="clear" w:color="auto" w:fill="FFFFFF"/>
        </w:rPr>
        <w:t>一、</w:t>
      </w:r>
      <w:r>
        <w:rPr>
          <w:rStyle w:val="12"/>
          <w:rFonts w:hint="default" w:ascii="Times New Roman" w:hAnsi="Times New Roman" w:eastAsia="黑体" w:cs="Times New Roman"/>
          <w:b w:val="0"/>
          <w:bCs w:val="0"/>
          <w:sz w:val="32"/>
          <w:szCs w:val="32"/>
          <w:shd w:val="clear" w:color="auto" w:fill="FFFFFF"/>
          <w:lang w:eastAsia="zh-CN"/>
        </w:rPr>
        <w:t>部门</w:t>
      </w:r>
      <w:r>
        <w:rPr>
          <w:rStyle w:val="12"/>
          <w:rFonts w:hint="default" w:ascii="Times New Roman" w:hAnsi="Times New Roman" w:eastAsia="黑体" w:cs="Times New Roman"/>
          <w:b w:val="0"/>
          <w:bCs w:val="0"/>
          <w:sz w:val="32"/>
          <w:szCs w:val="32"/>
          <w:shd w:val="clear" w:color="auto" w:fill="FFFFFF"/>
        </w:rPr>
        <w:t>基本情况</w:t>
      </w:r>
    </w:p>
    <w:p>
      <w:pPr>
        <w:pStyle w:val="8"/>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（一）职能职责</w:t>
      </w:r>
    </w:p>
    <w:p>
      <w:pPr>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lang w:val="en-US" w:eastAsia="zh-CN"/>
        </w:rPr>
        <w:t>负责建设完善全民健康信息平台体系，整合并共享各医疗卫生机构卫生健康资源信息，面向公众开放个人电子健康档案、电子病历和人口家庭等信息查询和咨询服务。</w:t>
      </w:r>
    </w:p>
    <w:p>
      <w:pPr>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2.负责区卫生健康委软件正版化和网站、办公系统、视频会议、网络监控及各类业务应用系统运维管理工作。</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3.负责卫生健康系统网络信息安全管理工作，指导各医疗卫生单位网络信息安全管理和专业技术人员培训。</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4.完成上级交办的其他工作。</w:t>
      </w:r>
    </w:p>
    <w:p>
      <w:pPr>
        <w:pStyle w:val="8"/>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Fonts w:hint="default" w:ascii="Times New Roman" w:hAnsi="Times New Roman" w:eastAsia="楷体"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（二）机构设置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重庆市长寿区卫生健康委员会</w:t>
      </w:r>
      <w:r>
        <w:rPr>
          <w:rFonts w:hint="eastAsia" w:ascii="方正仿宋_GBK" w:hAnsi="方正仿宋_GBK" w:eastAsia="方正仿宋_GBK" w:cs="方正仿宋_GBK"/>
          <w:sz w:val="32"/>
          <w:szCs w:val="32"/>
          <w:highlight w:val="none"/>
          <w:lang w:val="en-US" w:eastAsia="zh-CN"/>
        </w:rPr>
        <w:t>信息</w:t>
      </w:r>
      <w:r>
        <w:rPr>
          <w:rFonts w:hint="eastAsia" w:ascii="方正仿宋_GBK" w:hAnsi="方正仿宋_GBK" w:eastAsia="方正仿宋_GBK" w:cs="方正仿宋_GBK"/>
          <w:sz w:val="32"/>
          <w:szCs w:val="32"/>
          <w:highlight w:val="none"/>
        </w:rPr>
        <w:t>中心为区卫生健康委管理的正科级全额拨款事业单位，单位无内设科室。</w:t>
      </w:r>
      <w:r>
        <w:rPr>
          <w:rFonts w:hint="default" w:ascii="方正仿宋_GBK" w:hAnsi="方正仿宋_GBK" w:eastAsia="方正仿宋_GBK" w:cs="方正仿宋_GBK"/>
          <w:b w:val="0"/>
          <w:bCs w:val="0"/>
          <w:sz w:val="32"/>
          <w:szCs w:val="32"/>
          <w:highlight w:val="none"/>
          <w:lang w:val="en-US" w:eastAsia="zh-CN" w:bidi="ar-SA"/>
        </w:rPr>
        <w:t>本单位无下级预算单位。</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2"/>
          <w:rFonts w:hint="default" w:ascii="Times New Roman" w:hAnsi="Times New Roman" w:eastAsia="黑体" w:cs="Times New Roman"/>
          <w:b w:val="0"/>
          <w:bCs w:val="0"/>
          <w:sz w:val="32"/>
          <w:szCs w:val="32"/>
          <w:shd w:val="clear" w:color="auto" w:fill="FFFFFF"/>
        </w:rPr>
      </w:pPr>
      <w:r>
        <w:rPr>
          <w:rStyle w:val="12"/>
          <w:rFonts w:hint="default" w:ascii="Times New Roman" w:hAnsi="Times New Roman" w:eastAsia="黑体" w:cs="Times New Roman"/>
          <w:b w:val="0"/>
          <w:bCs w:val="0"/>
          <w:sz w:val="32"/>
          <w:szCs w:val="32"/>
          <w:shd w:val="clear" w:color="auto" w:fill="FFFFFF"/>
        </w:rPr>
        <w:t>二、</w:t>
      </w:r>
      <w:r>
        <w:rPr>
          <w:rStyle w:val="12"/>
          <w:rFonts w:hint="default" w:ascii="Times New Roman" w:hAnsi="Times New Roman" w:eastAsia="黑体" w:cs="Times New Roman"/>
          <w:b w:val="0"/>
          <w:bCs w:val="0"/>
          <w:sz w:val="32"/>
          <w:szCs w:val="32"/>
          <w:shd w:val="clear" w:color="auto" w:fill="FFFFFF"/>
          <w:lang w:eastAsia="zh-CN"/>
        </w:rPr>
        <w:t>部门</w:t>
      </w:r>
      <w:r>
        <w:rPr>
          <w:rStyle w:val="12"/>
          <w:rFonts w:hint="default" w:ascii="Times New Roman" w:hAnsi="Times New Roman" w:eastAsia="黑体" w:cs="Times New Roman"/>
          <w:b w:val="0"/>
          <w:bCs w:val="0"/>
          <w:sz w:val="32"/>
          <w:szCs w:val="32"/>
          <w:shd w:val="clear" w:color="auto" w:fill="FFFFFF"/>
        </w:rPr>
        <w:t>决算</w:t>
      </w:r>
      <w:r>
        <w:rPr>
          <w:rStyle w:val="12"/>
          <w:rFonts w:hint="default" w:ascii="Times New Roman" w:hAnsi="Times New Roman" w:eastAsia="黑体" w:cs="Times New Roman"/>
          <w:b w:val="0"/>
          <w:bCs w:val="0"/>
          <w:sz w:val="32"/>
          <w:szCs w:val="32"/>
          <w:shd w:val="clear" w:color="auto" w:fill="FFFFFF"/>
          <w:lang w:eastAsia="zh-CN"/>
        </w:rPr>
        <w:t>收支</w:t>
      </w:r>
      <w:r>
        <w:rPr>
          <w:rStyle w:val="12"/>
          <w:rFonts w:hint="default" w:ascii="Times New Roman" w:hAnsi="Times New Roman" w:eastAsia="黑体" w:cs="Times New Roman"/>
          <w:b w:val="0"/>
          <w:bCs w:val="0"/>
          <w:sz w:val="32"/>
          <w:szCs w:val="32"/>
          <w:shd w:val="clear" w:color="auto" w:fill="FFFFFF"/>
        </w:rPr>
        <w:t>情况说明</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8"/>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度收入总计64.06万元，支出总计</w:t>
      </w:r>
      <w:r>
        <w:rPr>
          <w:rFonts w:hint="default" w:ascii="Times New Roman" w:hAnsi="Times New Roman" w:eastAsia="方正仿宋_GBK" w:cs="Times New Roman"/>
          <w:b w:val="0"/>
          <w:bCs w:val="0"/>
          <w:sz w:val="32"/>
          <w:szCs w:val="32"/>
        </w:rPr>
        <w:t>64.06</w:t>
      </w:r>
      <w:r>
        <w:rPr>
          <w:rFonts w:hint="default" w:ascii="Times New Roman" w:hAnsi="Times New Roman" w:eastAsia="方正仿宋_GBK" w:cs="Times New Roman"/>
          <w:b w:val="0"/>
          <w:bCs w:val="0"/>
          <w:sz w:val="32"/>
          <w:szCs w:val="32"/>
          <w:shd w:val="clear" w:color="auto" w:fill="FFFFFF"/>
        </w:rPr>
        <w:t>万元。收、支与2023年度相比，增加64.06万元，增长100.0%，主要原因是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度收入合计64.06万元，与2023年度相比，增加64.06万元，增长100.0%，主要原因是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64.06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shd w:val="clear" w:color="auto" w:fill="FFFFFF"/>
        </w:rPr>
        <w:t>此外，</w:t>
      </w:r>
      <w:r>
        <w:rPr>
          <w:rFonts w:hint="default" w:ascii="Times New Roman" w:hAnsi="Times New Roman" w:eastAsia="方正仿宋_GBK" w:cs="Times New Roman"/>
          <w:b w:val="0"/>
          <w:bCs w:val="0"/>
          <w:sz w:val="32"/>
          <w:szCs w:val="32"/>
          <w:highlight w:val="none"/>
          <w:shd w:val="clear" w:color="auto" w:fill="FFFFFF"/>
        </w:rPr>
        <w:t>使用非财政拨款结余（含专用结余）</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64.06</w:t>
      </w:r>
      <w:r>
        <w:rPr>
          <w:rFonts w:hint="default" w:ascii="Times New Roman" w:hAnsi="Times New Roman" w:eastAsia="方正仿宋_GBK" w:cs="Times New Roman"/>
          <w:b w:val="0"/>
          <w:bCs w:val="0"/>
          <w:sz w:val="32"/>
          <w:szCs w:val="32"/>
          <w:shd w:val="clear" w:color="auto" w:fill="FFFFFF"/>
        </w:rPr>
        <w:t>万元，与2023年度相比，增加64.06万元，增长100.0%，主要原因是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54.06</w:t>
      </w:r>
      <w:r>
        <w:rPr>
          <w:rFonts w:hint="default" w:ascii="Times New Roman" w:hAnsi="Times New Roman" w:eastAsia="方正仿宋_GBK" w:cs="Times New Roman"/>
          <w:b w:val="0"/>
          <w:bCs w:val="0"/>
          <w:sz w:val="32"/>
          <w:szCs w:val="32"/>
          <w:shd w:val="clear" w:color="auto" w:fill="FFFFFF"/>
        </w:rPr>
        <w:t>万元，占84.4%；项目支出</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万元，占15.6%。此外，结余分配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lang w:eastAsia="zh-CN"/>
        </w:rPr>
      </w:pPr>
      <w:r>
        <w:rPr>
          <w:rStyle w:val="12"/>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8"/>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度财政拨款收、支总计64.06万元。与202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年相比，财政拨款收、支总计各增加64.06万元，增长100.0%。主要原因是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keepNext w:val="0"/>
        <w:keepLines w:val="0"/>
        <w:pageBreakBefore w:val="0"/>
        <w:widowControl w:val="0"/>
        <w:kinsoku/>
        <w:wordWrap/>
        <w:overflowPunct/>
        <w:topLinePunct w:val="0"/>
        <w:autoSpaceDN/>
        <w:bidi w:val="0"/>
        <w:adjustRightInd/>
        <w:ind w:firstLine="709"/>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54.06</w:t>
      </w:r>
      <w:r>
        <w:rPr>
          <w:rFonts w:hint="default" w:ascii="Times New Roman" w:hAnsi="Times New Roman" w:eastAsia="方正仿宋_GBK" w:cs="Times New Roman"/>
          <w:b w:val="0"/>
          <w:bCs w:val="0"/>
          <w:sz w:val="32"/>
          <w:szCs w:val="32"/>
          <w:shd w:val="clear" w:color="auto" w:fill="FFFFFF"/>
        </w:rPr>
        <w:t>万元，与2023年度相比，增加54.06万元，增长100.0%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较年初预算数减少43.48万元，下降44.6%</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本</w:t>
      </w:r>
      <w:r>
        <w:rPr>
          <w:rFonts w:hint="default" w:ascii="Times New Roman" w:hAnsi="Times New Roman" w:eastAsia="方正仿宋_GBK" w:cs="Times New Roman"/>
          <w:bCs/>
          <w:sz w:val="32"/>
          <w:szCs w:val="32"/>
          <w:lang w:val="en-US" w:eastAsia="zh-CN"/>
        </w:rPr>
        <w:t>单位2024年机构改革合并到长寿区卫生健康服务中心，2024年11—12月</w:t>
      </w:r>
      <w:r>
        <w:rPr>
          <w:rFonts w:hint="default" w:ascii="Times New Roman" w:hAnsi="Times New Roman" w:eastAsia="方正仿宋_GBK" w:cs="Times New Roman"/>
          <w:bCs/>
          <w:sz w:val="32"/>
          <w:szCs w:val="32"/>
        </w:rPr>
        <w:t>基本工资</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津贴补贴、健康休养费、医保、养老保险、住房公积金等在长寿区卫生健康服务中心发放，财政</w:t>
      </w:r>
      <w:r>
        <w:rPr>
          <w:rFonts w:hint="eastAsia"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中追减预算。</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54.06</w:t>
      </w:r>
      <w:r>
        <w:rPr>
          <w:rFonts w:hint="default" w:ascii="Times New Roman" w:hAnsi="Times New Roman" w:eastAsia="方正仿宋_GBK" w:cs="Times New Roman"/>
          <w:b w:val="0"/>
          <w:bCs w:val="0"/>
          <w:sz w:val="32"/>
          <w:szCs w:val="32"/>
          <w:shd w:val="clear" w:color="auto" w:fill="FFFFFF"/>
        </w:rPr>
        <w:t>万元，与2023年度相比，增加54.06万元，增长100.0%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较年初预算数减少43.48万元，下降44.6%</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本</w:t>
      </w:r>
      <w:r>
        <w:rPr>
          <w:rFonts w:hint="default" w:ascii="Times New Roman" w:hAnsi="Times New Roman" w:eastAsia="方正仿宋_GBK" w:cs="Times New Roman"/>
          <w:bCs/>
          <w:sz w:val="32"/>
          <w:szCs w:val="32"/>
          <w:lang w:val="en-US" w:eastAsia="zh-CN"/>
        </w:rPr>
        <w:t>单位2024年机构改革合并到长寿区卫生健康服务中心，2024年11—12月</w:t>
      </w:r>
      <w:r>
        <w:rPr>
          <w:rFonts w:hint="default" w:ascii="Times New Roman" w:hAnsi="Times New Roman" w:eastAsia="方正仿宋_GBK" w:cs="Times New Roman"/>
          <w:bCs/>
          <w:sz w:val="32"/>
          <w:szCs w:val="32"/>
        </w:rPr>
        <w:t>基本工资</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津贴补贴、健康休养费、医保、养老保险、住房公积金等在长寿区卫生健康服务中心发放，财政</w:t>
      </w:r>
      <w:r>
        <w:rPr>
          <w:rFonts w:hint="eastAsia"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中追减预算。</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shd w:val="clear" w:color="auto" w:fill="FFFFFF"/>
          <w:lang w:eastAsia="zh-CN"/>
        </w:rPr>
      </w:pPr>
      <w:r>
        <w:rPr>
          <w:rStyle w:val="12"/>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FF0000"/>
          <w:sz w:val="32"/>
          <w:szCs w:val="32"/>
          <w:highlight w:val="cyan"/>
          <w:shd w:val="clear" w:color="auto" w:fill="FFFFFF"/>
        </w:rPr>
      </w:pPr>
      <w:r>
        <w:rPr>
          <w:rStyle w:val="12"/>
          <w:rFonts w:hint="default" w:ascii="Times New Roman" w:hAnsi="Times New Roman" w:eastAsia="方正仿宋_GBK" w:cs="Times New Roman"/>
          <w:b w:val="0"/>
          <w:bCs w:val="0"/>
          <w:sz w:val="32"/>
          <w:szCs w:val="32"/>
          <w:shd w:val="clear" w:color="auto" w:fill="FFFFFF"/>
        </w:rPr>
        <w:t xml:space="preserve"> 4.比较情况。</w:t>
      </w: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（1）教育支出</w:t>
      </w:r>
      <w:r>
        <w:rPr>
          <w:rFonts w:hint="default" w:ascii="Times New Roman" w:hAnsi="Times New Roman" w:eastAsia="方正仿宋_GBK" w:cs="Times New Roman"/>
          <w:b w:val="0"/>
          <w:bCs w:val="0"/>
          <w:sz w:val="32"/>
          <w:szCs w:val="32"/>
        </w:rPr>
        <w:t>0.48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0.9%</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eastAsia" w:ascii="Times New Roman" w:hAnsi="Times New Roman" w:eastAsia="方正仿宋_GBK" w:cs="Times New Roman"/>
          <w:b w:val="0"/>
          <w:bCs w:val="0"/>
          <w:sz w:val="32"/>
          <w:szCs w:val="32"/>
          <w:shd w:val="clear" w:color="auto" w:fill="FFFFFF"/>
          <w:lang w:eastAsia="zh-CN"/>
        </w:rPr>
        <w:t>持平。</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Cs/>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highlight w:val="none"/>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w:t>
      </w:r>
      <w:r>
        <w:rPr>
          <w:rFonts w:hint="default" w:ascii="Times New Roman" w:hAnsi="Times New Roman" w:eastAsia="方正仿宋_GBK" w:cs="Times New Roman"/>
          <w:b w:val="0"/>
          <w:bCs w:val="0"/>
          <w:sz w:val="32"/>
          <w:szCs w:val="32"/>
        </w:rPr>
        <w:t>6.73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12.5%</w:t>
      </w:r>
      <w:r>
        <w:rPr>
          <w:rFonts w:hint="default" w:ascii="Times New Roman" w:hAnsi="Times New Roman" w:eastAsia="方正仿宋_GBK" w:cs="Times New Roman"/>
          <w:b w:val="0"/>
          <w:bCs w:val="0"/>
          <w:sz w:val="32"/>
          <w:szCs w:val="32"/>
          <w:shd w:val="clear" w:color="auto" w:fill="FFFFFF"/>
        </w:rPr>
        <w:t>，较年初预算数减少1.01万元，下降13.1%，主要原因是</w:t>
      </w:r>
      <w:r>
        <w:rPr>
          <w:rFonts w:hint="eastAsia" w:ascii="Times New Roman" w:hAnsi="Times New Roman" w:eastAsia="方正仿宋_GBK" w:cs="Times New Roman"/>
          <w:b w:val="0"/>
          <w:bCs w:val="0"/>
          <w:sz w:val="32"/>
          <w:szCs w:val="32"/>
          <w:shd w:val="clear" w:color="auto" w:fill="FFFFFF"/>
          <w:lang w:eastAsia="zh-CN"/>
        </w:rPr>
        <w:t>本</w:t>
      </w:r>
      <w:r>
        <w:rPr>
          <w:rFonts w:hint="default" w:ascii="Times New Roman" w:hAnsi="Times New Roman" w:eastAsia="方正仿宋_GBK" w:cs="Times New Roman"/>
          <w:bCs/>
          <w:sz w:val="32"/>
          <w:szCs w:val="32"/>
          <w:lang w:val="en-US" w:eastAsia="zh-CN"/>
        </w:rPr>
        <w:t>单位2024年机构改革合并到长寿区卫生健康服务中心，2024年11—12月养老保险</w:t>
      </w:r>
      <w:r>
        <w:rPr>
          <w:rFonts w:hint="eastAsia" w:ascii="Times New Roman" w:hAnsi="Times New Roman" w:eastAsia="方正仿宋_GBK" w:cs="Times New Roman"/>
          <w:bCs/>
          <w:sz w:val="32"/>
          <w:szCs w:val="32"/>
          <w:lang w:val="en-US" w:eastAsia="zh-CN"/>
        </w:rPr>
        <w:t>、职业年金</w:t>
      </w:r>
      <w:r>
        <w:rPr>
          <w:rFonts w:hint="default" w:ascii="Times New Roman" w:hAnsi="Times New Roman" w:eastAsia="方正仿宋_GBK" w:cs="Times New Roman"/>
          <w:bCs/>
          <w:sz w:val="32"/>
          <w:szCs w:val="32"/>
          <w:lang w:val="en-US" w:eastAsia="zh-CN"/>
        </w:rPr>
        <w:t>在长寿区卫生健康服务中心</w:t>
      </w:r>
      <w:r>
        <w:rPr>
          <w:rFonts w:hint="eastAsia" w:ascii="Times New Roman" w:hAnsi="Times New Roman" w:eastAsia="方正仿宋_GBK" w:cs="Times New Roman"/>
          <w:bCs/>
          <w:sz w:val="32"/>
          <w:szCs w:val="32"/>
          <w:lang w:val="en-US" w:eastAsia="zh-CN"/>
        </w:rPr>
        <w:t>缴纳</w:t>
      </w:r>
      <w:r>
        <w:rPr>
          <w:rFonts w:hint="default" w:ascii="Times New Roman" w:hAnsi="Times New Roman" w:eastAsia="方正仿宋_GBK" w:cs="Times New Roman"/>
          <w:bCs/>
          <w:sz w:val="32"/>
          <w:szCs w:val="32"/>
          <w:lang w:val="en-US" w:eastAsia="zh-CN"/>
        </w:rPr>
        <w:t>，财政</w:t>
      </w:r>
      <w:r>
        <w:rPr>
          <w:rFonts w:hint="eastAsia"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中追减预算。</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44.62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82.6%</w:t>
      </w:r>
      <w:r>
        <w:rPr>
          <w:rFonts w:hint="default" w:ascii="Times New Roman" w:hAnsi="Times New Roman" w:eastAsia="方正仿宋_GBK" w:cs="Times New Roman"/>
          <w:b w:val="0"/>
          <w:bCs w:val="0"/>
          <w:sz w:val="32"/>
          <w:szCs w:val="32"/>
          <w:shd w:val="clear" w:color="auto" w:fill="FFFFFF"/>
        </w:rPr>
        <w:t>，较年初预算数减少40.82万元，下降47.8%，主要原因是</w:t>
      </w:r>
      <w:r>
        <w:rPr>
          <w:rFonts w:hint="eastAsia" w:ascii="Times New Roman" w:hAnsi="Times New Roman" w:eastAsia="方正仿宋_GBK" w:cs="Times New Roman"/>
          <w:b w:val="0"/>
          <w:bCs w:val="0"/>
          <w:sz w:val="32"/>
          <w:szCs w:val="32"/>
          <w:shd w:val="clear" w:color="auto" w:fill="FFFFFF"/>
          <w:lang w:eastAsia="zh-CN"/>
        </w:rPr>
        <w:t>本</w:t>
      </w:r>
      <w:r>
        <w:rPr>
          <w:rFonts w:hint="default" w:ascii="Times New Roman" w:hAnsi="Times New Roman" w:eastAsia="方正仿宋_GBK" w:cs="Times New Roman"/>
          <w:bCs/>
          <w:sz w:val="32"/>
          <w:szCs w:val="32"/>
          <w:lang w:val="en-US" w:eastAsia="zh-CN"/>
        </w:rPr>
        <w:t>单位2024年机构改革合并到长寿区卫生健康服务中心，2024年11—12月</w:t>
      </w:r>
      <w:r>
        <w:rPr>
          <w:rFonts w:hint="default" w:ascii="Times New Roman" w:hAnsi="Times New Roman" w:eastAsia="方正仿宋_GBK" w:cs="Times New Roman"/>
          <w:bCs/>
          <w:sz w:val="32"/>
          <w:szCs w:val="32"/>
        </w:rPr>
        <w:t>基本工资</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津贴补贴、健康休养费等在长寿区卫生健康服务中心发放，财政</w:t>
      </w:r>
      <w:r>
        <w:rPr>
          <w:rFonts w:hint="eastAsia"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中追减预算。</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jc w:val="both"/>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住房保障支出2.22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shd w:val="clear" w:color="auto" w:fill="FFFFFF"/>
        </w:rPr>
        <w:t>，较年初预算数减少1.65万元，下降42.6%，主要原因是</w:t>
      </w:r>
      <w:r>
        <w:rPr>
          <w:rFonts w:hint="eastAsia" w:ascii="Times New Roman" w:hAnsi="Times New Roman" w:eastAsia="方正仿宋_GBK" w:cs="Times New Roman"/>
          <w:b w:val="0"/>
          <w:bCs w:val="0"/>
          <w:sz w:val="32"/>
          <w:szCs w:val="32"/>
          <w:shd w:val="clear" w:color="auto" w:fill="FFFFFF"/>
          <w:lang w:eastAsia="zh-CN"/>
        </w:rPr>
        <w:t>本</w:t>
      </w:r>
      <w:r>
        <w:rPr>
          <w:rFonts w:hint="default" w:ascii="Times New Roman" w:hAnsi="Times New Roman" w:eastAsia="方正仿宋_GBK" w:cs="Times New Roman"/>
          <w:bCs/>
          <w:sz w:val="32"/>
          <w:szCs w:val="32"/>
          <w:lang w:val="en-US" w:eastAsia="zh-CN"/>
        </w:rPr>
        <w:t>单位2024年机构改革合并到长寿区卫生健康服务中心，2024年11—12月住房公积金在长寿区卫生健康服务中心</w:t>
      </w:r>
      <w:r>
        <w:rPr>
          <w:rFonts w:hint="eastAsia" w:ascii="Times New Roman" w:hAnsi="Times New Roman" w:eastAsia="方正仿宋_GBK" w:cs="Times New Roman"/>
          <w:bCs/>
          <w:sz w:val="32"/>
          <w:szCs w:val="32"/>
          <w:lang w:val="en-US" w:eastAsia="zh-CN"/>
        </w:rPr>
        <w:t>缴纳</w:t>
      </w:r>
      <w:r>
        <w:rPr>
          <w:rFonts w:hint="default" w:ascii="Times New Roman" w:hAnsi="Times New Roman" w:eastAsia="方正仿宋_GBK" w:cs="Times New Roman"/>
          <w:bCs/>
          <w:sz w:val="32"/>
          <w:szCs w:val="32"/>
          <w:lang w:val="en-US" w:eastAsia="zh-CN"/>
        </w:rPr>
        <w:t>，财政</w:t>
      </w:r>
      <w:r>
        <w:rPr>
          <w:rFonts w:hint="eastAsia"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中追减预算。</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54.06</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43.51</w:t>
      </w:r>
      <w:r>
        <w:rPr>
          <w:rFonts w:hint="default" w:ascii="Times New Roman" w:hAnsi="Times New Roman" w:eastAsia="方正仿宋_GBK" w:cs="Times New Roman"/>
          <w:b w:val="0"/>
          <w:bCs w:val="0"/>
          <w:sz w:val="32"/>
          <w:szCs w:val="32"/>
          <w:shd w:val="clear" w:color="auto" w:fill="FFFFFF"/>
        </w:rPr>
        <w:t>万元，与2023年度相比，增加43.51万元，增长100.0%，主要原因是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color w:val="000000"/>
          <w:sz w:val="32"/>
          <w:szCs w:val="32"/>
          <w:lang w:eastAsia="zh-CN"/>
        </w:rPr>
        <w:t>职工基本工资、津补贴、奖金、社保、住房公积金和其他工资福利支出</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10.55</w:t>
      </w:r>
      <w:r>
        <w:rPr>
          <w:rFonts w:hint="default" w:ascii="Times New Roman" w:hAnsi="Times New Roman" w:eastAsia="方正仿宋_GBK" w:cs="Times New Roman"/>
          <w:b w:val="0"/>
          <w:bCs w:val="0"/>
          <w:sz w:val="32"/>
          <w:szCs w:val="32"/>
          <w:shd w:val="clear" w:color="auto" w:fill="FFFFFF"/>
        </w:rPr>
        <w:t>万元，与2023年度相比，增加10.55万元，增长100.0%，主要原因是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color w:val="000000"/>
          <w:sz w:val="32"/>
          <w:szCs w:val="32"/>
          <w:lang w:eastAsia="zh-CN"/>
        </w:rPr>
        <w:t>办公费、资料印刷费、差旅费、培训费、劳务费、委托业务费和其他商品服务支出等。</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度政府性基金预算财政拨款年初结转结余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sz w:val="32"/>
          <w:szCs w:val="32"/>
          <w:shd w:val="clear" w:color="auto" w:fill="FFFFFF"/>
        </w:rPr>
        <w:t>万元，与2023年度相比，增加1</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本年支出</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sz w:val="32"/>
          <w:szCs w:val="32"/>
          <w:shd w:val="clear" w:color="auto" w:fill="FFFFFF"/>
        </w:rPr>
        <w:t>万元，与2023年度相比，增加10万元，增长100.0%，主要原因是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Style w:val="12"/>
          <w:rFonts w:hint="default" w:ascii="Times New Roman" w:hAnsi="Times New Roman" w:eastAsia="方正仿宋_GBK" w:cs="Times New Roman"/>
          <w:b w:val="0"/>
          <w:bCs w:val="0"/>
          <w:sz w:val="32"/>
          <w:szCs w:val="32"/>
          <w:shd w:val="clear" w:color="auto" w:fill="auto"/>
        </w:rPr>
        <w:t>本单位</w:t>
      </w:r>
      <w:r>
        <w:rPr>
          <w:rStyle w:val="12"/>
          <w:rFonts w:hint="default" w:ascii="Times New Roman" w:hAnsi="Times New Roman" w:eastAsia="方正仿宋_GBK" w:cs="Times New Roman"/>
          <w:b w:val="0"/>
          <w:bCs w:val="0"/>
          <w:sz w:val="32"/>
          <w:szCs w:val="32"/>
          <w:shd w:val="clear" w:color="auto" w:fill="auto"/>
          <w:lang w:eastAsia="zh-CN"/>
        </w:rPr>
        <w:t>2024年</w:t>
      </w:r>
      <w:r>
        <w:rPr>
          <w:rStyle w:val="12"/>
          <w:rFonts w:hint="default" w:ascii="Times New Roman" w:hAnsi="Times New Roman" w:eastAsia="方正仿宋_GBK" w:cs="Times New Roman"/>
          <w:b w:val="0"/>
          <w:bCs w:val="0"/>
          <w:sz w:val="32"/>
          <w:szCs w:val="32"/>
          <w:shd w:val="clear" w:color="auto" w:fill="auto"/>
        </w:rPr>
        <w:t>度无国有资本经营预算财政拨款支出。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2"/>
          <w:rFonts w:hint="default" w:ascii="Times New Roman" w:hAnsi="Times New Roman" w:eastAsia="黑体" w:cs="Times New Roman"/>
          <w:b w:val="0"/>
          <w:bCs w:val="0"/>
          <w:sz w:val="32"/>
          <w:szCs w:val="32"/>
          <w:shd w:val="clear" w:color="auto" w:fill="FFFFFF"/>
        </w:rPr>
      </w:pPr>
      <w:r>
        <w:rPr>
          <w:rStyle w:val="12"/>
          <w:rFonts w:hint="default" w:ascii="Times New Roman" w:hAnsi="Times New Roman" w:eastAsia="黑体" w:cs="Times New Roman"/>
          <w:b w:val="0"/>
          <w:bCs w:val="0"/>
          <w:sz w:val="32"/>
          <w:szCs w:val="32"/>
          <w:shd w:val="clear" w:color="auto" w:fill="FFFFFF"/>
        </w:rPr>
        <w:t>三、</w:t>
      </w:r>
      <w:r>
        <w:rPr>
          <w:rStyle w:val="12"/>
          <w:rFonts w:hint="default" w:ascii="Times New Roman" w:hAnsi="Times New Roman" w:eastAsia="黑体" w:cs="Times New Roman"/>
          <w:b w:val="0"/>
          <w:bCs w:val="0"/>
          <w:sz w:val="32"/>
          <w:szCs w:val="32"/>
          <w:shd w:val="clear" w:color="auto" w:fill="FFFFFF"/>
          <w:lang w:eastAsia="zh-CN"/>
        </w:rPr>
        <w:t>财政拨款</w:t>
      </w:r>
      <w:r>
        <w:rPr>
          <w:rStyle w:val="12"/>
          <w:rFonts w:hint="default" w:ascii="Times New Roman" w:hAnsi="Times New Roman" w:eastAsia="黑体" w:cs="Times New Roman"/>
          <w:b w:val="0"/>
          <w:bCs w:val="0"/>
          <w:sz w:val="32"/>
          <w:szCs w:val="32"/>
          <w:shd w:val="clear" w:color="auto" w:fill="FFFFFF"/>
        </w:rPr>
        <w:t>“三公”经费情况说明</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（一）“三公”经费支出总体情况说明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eastAsia"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eastAsia" w:ascii="Times New Roman" w:hAnsi="Times New Roman" w:eastAsia="方正仿宋_GBK" w:cs="Times New Roman"/>
          <w:b w:val="0"/>
          <w:bCs w:val="0"/>
          <w:sz w:val="32"/>
          <w:szCs w:val="32"/>
          <w:shd w:val="clear" w:color="auto" w:fill="FFFFFF"/>
          <w:lang w:eastAsia="zh-CN"/>
        </w:rPr>
        <w:t>持平。</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bookmarkStart w:id="1" w:name="OLE_LINK1"/>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bookmarkEnd w:id="1"/>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highlight w:val="none"/>
          <w:shd w:val="clear" w:color="auto" w:fill="FFFFFF"/>
        </w:rPr>
        <w:t>公务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车运行维</w:t>
      </w:r>
      <w:r>
        <w:rPr>
          <w:rFonts w:hint="default" w:ascii="Times New Roman" w:hAnsi="Times New Roman" w:eastAsia="方正仿宋_GBK" w:cs="Times New Roman"/>
          <w:b w:val="0"/>
          <w:bCs w:val="0"/>
          <w:sz w:val="32"/>
          <w:szCs w:val="32"/>
          <w:shd w:val="clear" w:color="auto" w:fill="FFFFFF"/>
        </w:rPr>
        <w:t>护费</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w:t>
      </w:r>
      <w:r>
        <w:rPr>
          <w:rFonts w:hint="default" w:ascii="Times New Roman" w:hAnsi="Times New Roman" w:eastAsia="方正仿宋_GBK" w:cs="Times New Roman"/>
          <w:b w:val="0"/>
          <w:bCs w:val="0"/>
          <w:sz w:val="32"/>
          <w:szCs w:val="32"/>
          <w:highlight w:val="none"/>
          <w:shd w:val="clear" w:color="auto" w:fill="FFFFFF"/>
        </w:rPr>
        <w:t>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w:t>
      </w:r>
      <w:r>
        <w:rPr>
          <w:rFonts w:hint="default" w:ascii="Times New Roman" w:hAnsi="Times New Roman" w:eastAsia="方正仿宋_GBK" w:cs="Times New Roman"/>
          <w:b w:val="0"/>
          <w:bCs w:val="0"/>
          <w:sz w:val="32"/>
          <w:szCs w:val="32"/>
          <w:shd w:val="clear" w:color="auto" w:fill="FFFFFF"/>
        </w:rPr>
        <w:t>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2"/>
          <w:rFonts w:hint="default" w:ascii="Times New Roman" w:hAnsi="Times New Roman" w:eastAsia="黑体" w:cs="Times New Roman"/>
          <w:b w:val="0"/>
          <w:bCs w:val="0"/>
          <w:sz w:val="32"/>
          <w:szCs w:val="32"/>
          <w:shd w:val="clear" w:color="auto" w:fill="FFFFFF"/>
        </w:rPr>
      </w:pPr>
      <w:r>
        <w:rPr>
          <w:rStyle w:val="12"/>
          <w:rFonts w:hint="default" w:ascii="Times New Roman" w:hAnsi="Times New Roman" w:eastAsia="黑体" w:cs="Times New Roman"/>
          <w:b w:val="0"/>
          <w:bCs w:val="0"/>
          <w:sz w:val="32"/>
          <w:szCs w:val="32"/>
          <w:shd w:val="clear" w:color="auto" w:fill="FFFFFF"/>
        </w:rPr>
        <w:t>四、其他需要说明的事项</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（一）财政拨款会议费和培训费情况说明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0.48</w:t>
      </w:r>
      <w:r>
        <w:rPr>
          <w:rFonts w:hint="default" w:ascii="Times New Roman" w:hAnsi="Times New Roman" w:eastAsia="方正仿宋_GBK" w:cs="Times New Roman"/>
          <w:b w:val="0"/>
          <w:bCs w:val="0"/>
          <w:sz w:val="32"/>
          <w:szCs w:val="32"/>
          <w:shd w:val="clear" w:color="auto" w:fill="FFFFFF"/>
        </w:rPr>
        <w:t>万元，与2023年度相比，增加0.48万元，增长100.0%，主要原因是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12月31日，本部门共有车辆</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度本单位政府采购支出总额</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0万</w:t>
      </w:r>
      <w:r>
        <w:rPr>
          <w:rFonts w:hint="default" w:ascii="Times New Roman" w:hAnsi="Times New Roman" w:eastAsia="方正仿宋_GBK" w:cs="Times New Roman"/>
          <w:b w:val="0"/>
          <w:bCs w:val="0"/>
          <w:sz w:val="32"/>
          <w:szCs w:val="32"/>
          <w:shd w:val="clear" w:color="auto" w:fill="FFFFFF"/>
        </w:rPr>
        <w:t>元</w:t>
      </w:r>
      <w:r>
        <w:rPr>
          <w:rFonts w:hint="default" w:ascii="Times New Roman" w:hAnsi="Times New Roman" w:eastAsia="方正仿宋_GBK" w:cs="Times New Roman"/>
          <w:b w:val="0"/>
          <w:bCs w:val="0"/>
          <w:sz w:val="32"/>
          <w:szCs w:val="32"/>
          <w:shd w:val="clear" w:color="auto" w:fill="FFFFFF"/>
          <w:lang w:eastAsia="zh-CN"/>
        </w:rPr>
        <w:t>。</w:t>
      </w:r>
    </w:p>
    <w:p>
      <w:pPr>
        <w:pStyle w:val="18"/>
        <w:keepNext w:val="0"/>
        <w:keepLines w:val="0"/>
        <w:pageBreakBefore w:val="0"/>
        <w:widowControl w:val="0"/>
        <w:shd w:val="clear"/>
        <w:tabs>
          <w:tab w:val="center" w:pos="4153"/>
          <w:tab w:val="left" w:pos="7275"/>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rPr>
      </w:pPr>
      <w:r>
        <w:rPr>
          <w:rFonts w:hint="default" w:ascii="Times New Roman" w:hAnsi="Times New Roman" w:eastAsia="方正黑体_GBK" w:cs="Times New Roman"/>
          <w:b w:val="0"/>
          <w:bCs w:val="0"/>
          <w:color w:val="auto"/>
          <w:kern w:val="0"/>
          <w:sz w:val="32"/>
          <w:szCs w:val="32"/>
          <w:highlight w:val="none"/>
        </w:rPr>
        <w:t>五、预算绩效管理情况说明</w:t>
      </w:r>
    </w:p>
    <w:p>
      <w:pPr>
        <w:pStyle w:val="8"/>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（一）预算绩效管理工作开展情况</w:t>
      </w:r>
    </w:p>
    <w:p>
      <w:pPr>
        <w:pStyle w:val="8"/>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根据预算绩效管理要求，我单位对1个项目开展了绩效自评，涉及财政拨款项目支出资金10万元。</w:t>
      </w:r>
    </w:p>
    <w:p>
      <w:pPr>
        <w:pStyle w:val="8"/>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0"/>
          <w:sz w:val="32"/>
          <w:szCs w:val="32"/>
          <w:highlight w:val="none"/>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（二）</w:t>
      </w:r>
      <w:r>
        <w:rPr>
          <w:rFonts w:hint="default" w:ascii="Times New Roman" w:hAnsi="Times New Roman" w:eastAsia="方正楷体_GBK" w:cs="Times New Roman"/>
          <w:b w:val="0"/>
          <w:bCs w:val="0"/>
          <w:kern w:val="0"/>
          <w:sz w:val="32"/>
          <w:szCs w:val="32"/>
          <w:highlight w:val="none"/>
          <w:lang w:val="en-US" w:eastAsia="zh-CN" w:bidi="ar"/>
        </w:rPr>
        <w:t>绩效自评结果</w:t>
      </w:r>
    </w:p>
    <w:p>
      <w:pPr>
        <w:pStyle w:val="8"/>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2"/>
          <w:sz w:val="32"/>
          <w:szCs w:val="32"/>
          <w:highlight w:val="none"/>
          <w:shd w:val="clear" w:color="auto" w:fill="FFFFFF"/>
        </w:rPr>
      </w:pPr>
      <w:r>
        <w:rPr>
          <w:rFonts w:hint="default" w:ascii="Times New Roman" w:hAnsi="Times New Roman" w:eastAsia="方正仿宋_GBK" w:cs="Times New Roman"/>
          <w:b w:val="0"/>
          <w:bCs w:val="0"/>
          <w:color w:val="000000"/>
          <w:kern w:val="0"/>
          <w:sz w:val="32"/>
          <w:szCs w:val="32"/>
          <w:highlight w:val="none"/>
          <w:lang w:val="en-US" w:eastAsia="zh-CN" w:bidi="ar"/>
        </w:rPr>
        <w:t>绩效自评结果详见附件2024年度绩效自评公开表（《部门整体绩效自评表》、《项目绩效自评结果汇总表》、《项目支出绩效自评表》）。</w:t>
      </w:r>
    </w:p>
    <w:p>
      <w:pPr>
        <w:pStyle w:val="8"/>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（三）财政绩效评价情况</w:t>
      </w:r>
    </w:p>
    <w:p>
      <w:pPr>
        <w:pStyle w:val="8"/>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Style w:val="12"/>
          <w:rFonts w:hint="default" w:ascii="Times New Roman" w:hAnsi="Times New Roman" w:eastAsia="方正仿宋_GBK" w:cs="Times New Roman"/>
          <w:b w:val="0"/>
          <w:bCs w:val="0"/>
          <w:sz w:val="32"/>
          <w:szCs w:val="32"/>
          <w:highlight w:val="none"/>
          <w:shd w:val="clear" w:color="auto" w:fill="FFFFFF"/>
        </w:rPr>
      </w:pPr>
      <w:r>
        <w:rPr>
          <w:rStyle w:val="12"/>
          <w:rFonts w:hint="default" w:ascii="Times New Roman" w:hAnsi="Times New Roman" w:eastAsia="方正仿宋_GBK" w:cs="Times New Roman"/>
          <w:b w:val="0"/>
          <w:bCs w:val="0"/>
          <w:sz w:val="32"/>
          <w:szCs w:val="32"/>
          <w:highlight w:val="none"/>
          <w:shd w:val="clear" w:color="auto" w:fill="FFFFFF"/>
          <w:lang w:val="en-US" w:eastAsia="zh-CN"/>
        </w:rPr>
        <w:t>区财政局未委托第三方对我单位开展绩效评价。</w:t>
      </w:r>
    </w:p>
    <w:p>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b w:val="0"/>
          <w:bCs w:val="0"/>
          <w:kern w:val="0"/>
          <w:sz w:val="32"/>
          <w:szCs w:val="32"/>
        </w:rPr>
      </w:pPr>
      <w:r>
        <w:rPr>
          <w:rStyle w:val="15"/>
          <w:rFonts w:hint="default" w:ascii="Times New Roman" w:hAnsi="Times New Roman" w:eastAsia="方正仿宋_GBK" w:cs="Times New Roman"/>
          <w:b w:val="0"/>
          <w:bCs w:val="0"/>
          <w:sz w:val="32"/>
          <w:szCs w:val="32"/>
          <w:shd w:val="clear" w:fill="FFFFFF"/>
        </w:rPr>
        <w:t xml:space="preserve"> </w:t>
      </w:r>
      <w:r>
        <w:rPr>
          <w:rStyle w:val="15"/>
          <w:rFonts w:hint="default" w:ascii="Times New Roman" w:hAnsi="Times New Roman" w:eastAsia="方正仿宋_GBK" w:cs="Times New Roman"/>
          <w:b w:val="0"/>
          <w:bCs w:val="0"/>
          <w:sz w:val="32"/>
          <w:szCs w:val="32"/>
          <w:shd w:val="clear" w:fill="FFFFFF"/>
          <w:lang w:val="en-US" w:eastAsia="zh-CN"/>
        </w:rPr>
        <w:t xml:space="preserve">  </w:t>
      </w:r>
      <w:r>
        <w:rPr>
          <w:rStyle w:val="12"/>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bookmarkStart w:id="2" w:name="_GoBack"/>
      <w:r>
        <w:rPr>
          <w:rStyle w:val="12"/>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决算公开联系人：钟鑫；电话：</w:t>
      </w:r>
      <w:r>
        <w:rPr>
          <w:rFonts w:hint="default" w:ascii="Times New Roman" w:hAnsi="Times New Roman" w:eastAsia="方正仿宋_GBK" w:cs="Times New Roman"/>
          <w:b w:val="0"/>
          <w:bCs w:val="0"/>
          <w:color w:val="000000"/>
          <w:sz w:val="32"/>
          <w:szCs w:val="32"/>
          <w:lang w:val="en-US" w:eastAsia="zh-CN"/>
        </w:rPr>
        <w:t>023—40669903</w:t>
      </w:r>
    </w:p>
    <w:bookmarkEnd w:id="0"/>
    <w:p>
      <w:pPr>
        <w:keepNext w:val="0"/>
        <w:keepLines w:val="0"/>
        <w:pageBreakBefore w:val="0"/>
        <w:widowControl w:val="0"/>
        <w:kinsoku/>
        <w:wordWrap/>
        <w:overflowPunct/>
        <w:topLinePunct w:val="0"/>
        <w:autoSpaceDN/>
        <w:bidi w:val="0"/>
        <w:adjustRightInd/>
        <w:spacing w:beforeAutospacing="0" w:afterAutospacing="0" w:line="594" w:lineRule="exact"/>
        <w:jc w:val="both"/>
        <w:rPr>
          <w:rFonts w:hint="default" w:ascii="Times New Roman" w:hAnsi="Times New Roman" w:cs="Times New Roman"/>
          <w:b w:val="0"/>
          <w:bCs w:val="0"/>
          <w:sz w:val="18"/>
          <w:szCs w:val="18"/>
        </w:rPr>
      </w:pPr>
    </w:p>
    <w:bookmarkEnd w:id="2"/>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30 -</w:t>
                </w:r>
                <w:r>
                  <w:rPr>
                    <w:sz w:val="28"/>
                    <w:szCs w:val="28"/>
                  </w:rP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8E0D2C"/>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555515F"/>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7FE505C"/>
    <w:rsid w:val="383C3F15"/>
    <w:rsid w:val="38BE4696"/>
    <w:rsid w:val="3939115E"/>
    <w:rsid w:val="39B82A39"/>
    <w:rsid w:val="39C42CA8"/>
    <w:rsid w:val="39DC4FD6"/>
    <w:rsid w:val="39F03D7A"/>
    <w:rsid w:val="39F33306"/>
    <w:rsid w:val="3A2C1C67"/>
    <w:rsid w:val="3AA33CA2"/>
    <w:rsid w:val="3B1705E5"/>
    <w:rsid w:val="3B18334B"/>
    <w:rsid w:val="3B36794F"/>
    <w:rsid w:val="3C566AD6"/>
    <w:rsid w:val="3C6A5B02"/>
    <w:rsid w:val="3D2757A1"/>
    <w:rsid w:val="3D2952E1"/>
    <w:rsid w:val="3D3D4FC4"/>
    <w:rsid w:val="3DDF3AB1"/>
    <w:rsid w:val="3DDF7F5B"/>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9B22B9"/>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4B29AB"/>
    <w:rsid w:val="5AD134D8"/>
    <w:rsid w:val="5B6503B1"/>
    <w:rsid w:val="5C0F7EC4"/>
    <w:rsid w:val="5C263CE4"/>
    <w:rsid w:val="5C5D2777"/>
    <w:rsid w:val="5C996CB4"/>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7438F8"/>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9BB5D0A"/>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仿宋_GB2312" w:hAnsi="Calibri" w:eastAsia="仿宋_GB2312" w:cs="Times New Roman"/>
      <w:color w:val="000000"/>
      <w:sz w:val="24"/>
      <w:szCs w:val="24"/>
      <w:lang w:val="en-US" w:eastAsia="zh-CN"/>
    </w:rPr>
  </w:style>
  <w:style w:type="paragraph" w:styleId="3">
    <w:name w:val="Balloon Text"/>
    <w:basedOn w:val="1"/>
    <w:link w:val="17"/>
    <w:qFormat/>
    <w:uiPriority w:val="0"/>
    <w:rPr>
      <w:sz w:val="18"/>
      <w:szCs w:val="18"/>
    </w:rPr>
  </w:style>
  <w:style w:type="paragraph" w:styleId="4">
    <w:name w:val="footer"/>
    <w:basedOn w:val="1"/>
    <w:next w:val="5"/>
    <w:qFormat/>
    <w:uiPriority w:val="0"/>
    <w:pPr>
      <w:tabs>
        <w:tab w:val="center" w:pos="4153"/>
        <w:tab w:val="right" w:pos="8306"/>
      </w:tabs>
      <w:snapToGrid w:val="0"/>
    </w:pPr>
    <w:rPr>
      <w:sz w:val="18"/>
      <w:szCs w:val="18"/>
    </w:rPr>
  </w:style>
  <w:style w:type="paragraph" w:customStyle="1" w:styleId="5">
    <w:name w:val="索引 51"/>
    <w:basedOn w:val="1"/>
    <w:next w:val="1"/>
    <w:qFormat/>
    <w:uiPriority w:val="0"/>
    <w:pPr>
      <w:ind w:left="1680"/>
    </w:p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3"/>
    <w:qFormat/>
    <w:uiPriority w:val="0"/>
    <w:rPr>
      <w:rFonts w:ascii="宋体" w:hAnsi="宋体"/>
      <w:sz w:val="18"/>
      <w:szCs w:val="18"/>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12</TotalTime>
  <ScaleCrop>false</ScaleCrop>
  <LinksUpToDate>false</LinksUpToDate>
  <CharactersWithSpaces>15806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钟鑫</cp:lastModifiedBy>
  <dcterms:modified xsi:type="dcterms:W3CDTF">2025-10-11T07:33:39Z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