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720" w:firstLineChars="200"/>
        <w:jc w:val="both"/>
        <w:textAlignment w:val="auto"/>
        <w:rPr>
          <w:rFonts w:hint="default" w:ascii="Times New Roman" w:hAnsi="Times New Roman" w:eastAsia="方正小标宋_GBK" w:cs="Times New Roman"/>
          <w:b w:val="0"/>
          <w:bCs w:val="0"/>
          <w:sz w:val="36"/>
          <w:szCs w:val="36"/>
          <w:lang w:val="en-US" w:eastAsia="zh-CN"/>
        </w:rPr>
      </w:pPr>
      <w:bookmarkStart w:id="0" w:name="OLE_LINK2"/>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重庆市长寿区卫生健康服务中心</w:t>
      </w:r>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一、</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（一）职能职责</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贯彻执行国家和市有关卫生健康的方针、政策和法律、法规，为全区卫生健康事业工作提供服务保障。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2.负责全区卫生健康系统干部职工人事档案材料的收集、整理、归档、保管和利用相关工作。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3.负责全区基层医疗卫生机构财务核算管理、财务运行状况监管等相关事务性工作。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负责全区卫生健康系统基本建设和维修工作，落实建设规划，实施美丽医院建设。</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负责全区卫生健康系统信息化建设、网络信息安全及卫生健康行业统计等工作。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负责全区采供血机构管理相关事务性工作。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7.负责全区医疗卫生应急相关事务性工作。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8.负责全区医疗保健、医疗卫生保障相关事务性工作。</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完成上级交办的其他工作。</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楷体"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（二）机构设置</w:t>
      </w:r>
    </w:p>
    <w:p>
      <w:pPr>
        <w:keepNext w:val="0"/>
        <w:keepLines w:val="0"/>
        <w:pageBreakBefore w:val="0"/>
        <w:widowControl w:val="0"/>
        <w:kinsoku/>
        <w:wordWrap/>
        <w:overflowPunct/>
        <w:topLinePunct w:val="0"/>
        <w:autoSpaceDN/>
        <w:bidi w:val="0"/>
        <w:adjustRightInd/>
        <w:snapToGrid w:val="0"/>
        <w:spacing w:line="520" w:lineRule="exact"/>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重庆市长寿区卫生健康服务中心</w:t>
      </w:r>
      <w:r>
        <w:rPr>
          <w:rFonts w:hint="eastAsia" w:ascii="方正仿宋_GBK" w:hAnsi="方正仿宋_GBK" w:eastAsia="方正仿宋_GBK" w:cs="方正仿宋_GBK"/>
          <w:sz w:val="32"/>
          <w:szCs w:val="32"/>
          <w:highlight w:val="none"/>
        </w:rPr>
        <w:t>为</w:t>
      </w:r>
      <w:r>
        <w:rPr>
          <w:rFonts w:hint="eastAsia" w:ascii="方正仿宋_GBK" w:hAnsi="方正仿宋_GBK" w:eastAsia="方正仿宋_GBK" w:cs="方正仿宋_GBK"/>
          <w:sz w:val="32"/>
          <w:szCs w:val="32"/>
          <w:highlight w:val="none"/>
          <w:lang w:eastAsia="zh-CN"/>
        </w:rPr>
        <w:t>长寿</w:t>
      </w:r>
      <w:r>
        <w:rPr>
          <w:rFonts w:hint="eastAsia" w:ascii="方正仿宋_GBK" w:hAnsi="方正仿宋_GBK" w:eastAsia="方正仿宋_GBK" w:cs="方正仿宋_GBK"/>
          <w:sz w:val="32"/>
          <w:szCs w:val="32"/>
          <w:highlight w:val="none"/>
        </w:rPr>
        <w:t>区卫生健康委管理的</w:t>
      </w:r>
      <w:r>
        <w:rPr>
          <w:rFonts w:hint="eastAsia" w:ascii="方正仿宋_GBK" w:hAnsi="方正仿宋_GBK" w:eastAsia="方正仿宋_GBK" w:cs="方正仿宋_GBK"/>
          <w:sz w:val="32"/>
          <w:szCs w:val="32"/>
          <w:highlight w:val="none"/>
          <w:lang w:val="en-US" w:eastAsia="zh-CN"/>
        </w:rPr>
        <w:t>副处</w:t>
      </w:r>
      <w:r>
        <w:rPr>
          <w:rFonts w:hint="eastAsia" w:ascii="方正仿宋_GBK" w:hAnsi="方正仿宋_GBK" w:eastAsia="方正仿宋_GBK" w:cs="方正仿宋_GBK"/>
          <w:sz w:val="32"/>
          <w:szCs w:val="32"/>
          <w:highlight w:val="none"/>
        </w:rPr>
        <w:t>级全额拨款事业单位，单位无内设科室。</w:t>
      </w:r>
      <w:bookmarkStart w:id="4" w:name="_GoBack"/>
      <w:r>
        <w:rPr>
          <w:rStyle w:val="11"/>
          <w:rFonts w:hint="eastAsia" w:ascii="方正仿宋_GBK" w:hAnsi="方正仿宋_GBK" w:eastAsia="方正仿宋_GBK" w:cs="方正仿宋_GBK"/>
          <w:b w:val="0"/>
          <w:bCs w:val="0"/>
          <w:sz w:val="32"/>
          <w:szCs w:val="32"/>
          <w:shd w:val="clear" w:color="auto" w:fill="FFFFFF"/>
        </w:rPr>
        <w:t>本单位无下级预算单位。</w:t>
      </w:r>
    </w:p>
    <w:bookmarkEnd w:id="4"/>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黑体" w:cs="Times New Roman"/>
          <w:b w:val="0"/>
          <w:bCs w:val="0"/>
          <w:sz w:val="32"/>
          <w:szCs w:val="32"/>
          <w:shd w:val="clear" w:color="auto" w:fill="FFFFFF"/>
        </w:rPr>
        <w:t>二、</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决算</w:t>
      </w:r>
      <w:r>
        <w:rPr>
          <w:rStyle w:val="11"/>
          <w:rFonts w:hint="default" w:ascii="Times New Roman" w:hAnsi="Times New Roman" w:eastAsia="黑体" w:cs="Times New Roman"/>
          <w:b w:val="0"/>
          <w:bCs w:val="0"/>
          <w:sz w:val="32"/>
          <w:szCs w:val="32"/>
          <w:shd w:val="clear" w:color="auto" w:fill="FFFFFF"/>
          <w:lang w:eastAsia="zh-CN"/>
        </w:rPr>
        <w:t>收支</w:t>
      </w:r>
      <w:r>
        <w:rPr>
          <w:rStyle w:val="11"/>
          <w:rFonts w:hint="default" w:ascii="Times New Roman" w:hAnsi="Times New Roman" w:eastAsia="黑体" w:cs="Times New Roman"/>
          <w:b w:val="0"/>
          <w:bCs w:val="0"/>
          <w:sz w:val="32"/>
          <w:szCs w:val="32"/>
          <w:shd w:val="clear" w:color="auto" w:fill="FFFFFF"/>
        </w:rPr>
        <w:t>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度收入总计319.31万元，支出总计</w:t>
      </w:r>
      <w:r>
        <w:rPr>
          <w:rFonts w:hint="default" w:ascii="Times New Roman" w:hAnsi="Times New Roman" w:eastAsia="方正仿宋_GBK" w:cs="Times New Roman"/>
          <w:b w:val="0"/>
          <w:bCs w:val="0"/>
          <w:sz w:val="32"/>
          <w:szCs w:val="32"/>
        </w:rPr>
        <w:t>319.31</w:t>
      </w:r>
      <w:r>
        <w:rPr>
          <w:rFonts w:hint="default" w:ascii="Times New Roman" w:hAnsi="Times New Roman" w:eastAsia="方正仿宋_GBK" w:cs="Times New Roman"/>
          <w:b w:val="0"/>
          <w:bCs w:val="0"/>
          <w:sz w:val="32"/>
          <w:szCs w:val="32"/>
          <w:shd w:val="clear" w:color="auto" w:fill="FFFFFF"/>
        </w:rPr>
        <w:t>万元。收、支与2023年度相比，增加319.31万元，增长100.0%，主要原因是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度收入合计319.31万元，与2023年度相比，增加319.31万元，增长100.0%，主要原因是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319.31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319.31</w:t>
      </w:r>
      <w:r>
        <w:rPr>
          <w:rFonts w:hint="default" w:ascii="Times New Roman" w:hAnsi="Times New Roman" w:eastAsia="方正仿宋_GBK" w:cs="Times New Roman"/>
          <w:b w:val="0"/>
          <w:bCs w:val="0"/>
          <w:sz w:val="32"/>
          <w:szCs w:val="32"/>
          <w:shd w:val="clear" w:color="auto" w:fill="FFFFFF"/>
        </w:rPr>
        <w:t>万元，与2023年度相比，增加319.31万元，增长100.0%，主要原因是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309.31</w:t>
      </w:r>
      <w:r>
        <w:rPr>
          <w:rFonts w:hint="default" w:ascii="Times New Roman" w:hAnsi="Times New Roman" w:eastAsia="方正仿宋_GBK" w:cs="Times New Roman"/>
          <w:b w:val="0"/>
          <w:bCs w:val="0"/>
          <w:sz w:val="32"/>
          <w:szCs w:val="32"/>
          <w:shd w:val="clear" w:color="auto" w:fill="FFFFFF"/>
        </w:rPr>
        <w:t>万元，占96.9%；项目支出</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万元，占3.1%。此外，结余分配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eastAsia="zh-CN"/>
        </w:rPr>
      </w:pPr>
      <w:r>
        <w:rPr>
          <w:rStyle w:val="11"/>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度财政拨款收、支总计319.31万元。与202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年相比，财政拨款收、支总计各增加319.31万元，增长100.0%。主要原因是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keepNext w:val="0"/>
        <w:keepLines w:val="0"/>
        <w:pageBreakBefore w:val="0"/>
        <w:widowControl w:val="0"/>
        <w:kinsoku/>
        <w:wordWrap/>
        <w:overflowPunct/>
        <w:topLinePunct w:val="0"/>
        <w:autoSpaceDN/>
        <w:bidi w:val="0"/>
        <w:adjustRightInd/>
        <w:ind w:firstLine="709"/>
        <w:jc w:val="both"/>
        <w:rPr>
          <w:rFonts w:hint="default" w:ascii="Times New Roman" w:hAnsi="Times New Roman" w:eastAsia="方正仿宋_GBK" w:cs="Times New Roman"/>
          <w:bCs/>
          <w:sz w:val="32"/>
          <w:szCs w:val="32"/>
          <w:lang w:val="en-US" w:eastAsia="zh-CN"/>
        </w:rPr>
      </w:pPr>
      <w:r>
        <w:rPr>
          <w:rStyle w:val="11"/>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309.31</w:t>
      </w:r>
      <w:r>
        <w:rPr>
          <w:rFonts w:hint="default" w:ascii="Times New Roman" w:hAnsi="Times New Roman" w:eastAsia="方正仿宋_GBK" w:cs="Times New Roman"/>
          <w:b w:val="0"/>
          <w:bCs w:val="0"/>
          <w:sz w:val="32"/>
          <w:szCs w:val="32"/>
          <w:shd w:val="clear" w:color="auto" w:fill="FFFFFF"/>
        </w:rPr>
        <w:t>万元，与2023年度相比，增加309.31万元，增长100.0%</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较年初预算数增加137.27万元，增长79.8%。主要原因是</w:t>
      </w:r>
      <w:r>
        <w:rPr>
          <w:rFonts w:hint="default" w:ascii="Times New Roman" w:hAnsi="Times New Roman" w:eastAsia="方正仿宋_GBK" w:cs="Times New Roman"/>
          <w:bCs/>
          <w:sz w:val="32"/>
          <w:szCs w:val="32"/>
          <w:lang w:val="en-US" w:eastAsia="zh-CN"/>
        </w:rPr>
        <w:t>重庆市长寿区基层医疗机构财务核算中心等4个</w:t>
      </w:r>
      <w:bookmarkStart w:id="1" w:name="OLE_LINK3"/>
      <w:r>
        <w:rPr>
          <w:rFonts w:hint="default" w:ascii="Times New Roman" w:hAnsi="Times New Roman" w:eastAsia="方正仿宋_GBK" w:cs="Times New Roman"/>
          <w:bCs/>
          <w:sz w:val="32"/>
          <w:szCs w:val="32"/>
          <w:lang w:val="en-US" w:eastAsia="zh-CN"/>
        </w:rPr>
        <w:t>单位2024年机构改革合并到长寿区卫生健康服务中心，2024年11—12月上述4个单位</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津贴补贴、健康休养费、医保、养老保险、住房公积金等在长寿区卫生健康服务中心发放，</w:t>
      </w:r>
    </w:p>
    <w:p>
      <w:pPr>
        <w:keepNext w:val="0"/>
        <w:keepLines w:val="0"/>
        <w:pageBreakBefore w:val="0"/>
        <w:widowControl w:val="0"/>
        <w:kinsoku/>
        <w:wordWrap/>
        <w:overflowPunct/>
        <w:topLinePunct w:val="0"/>
        <w:autoSpaceDN/>
        <w:bidi w:val="0"/>
        <w:adjustRightInd/>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Cs/>
          <w:sz w:val="32"/>
          <w:szCs w:val="32"/>
          <w:lang w:val="en-US" w:eastAsia="zh-CN"/>
        </w:rPr>
        <w:t>财政</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追加</w:t>
      </w:r>
      <w:r>
        <w:rPr>
          <w:rFonts w:hint="default" w:ascii="Times New Roman" w:hAnsi="Times New Roman" w:eastAsia="方正仿宋_GBK" w:cs="Times New Roman"/>
          <w:bCs/>
          <w:sz w:val="32"/>
          <w:szCs w:val="32"/>
          <w:lang w:val="en-US" w:eastAsia="zh-CN"/>
        </w:rPr>
        <w:t>137.27万</w:t>
      </w:r>
      <w:r>
        <w:rPr>
          <w:rFonts w:hint="default" w:ascii="Times New Roman" w:hAnsi="Times New Roman" w:eastAsia="方正仿宋_GBK" w:cs="Times New Roman"/>
          <w:bCs/>
          <w:sz w:val="32"/>
          <w:szCs w:val="32"/>
        </w:rPr>
        <w:t>元</w:t>
      </w:r>
      <w:r>
        <w:rPr>
          <w:rFonts w:hint="default" w:ascii="Times New Roman" w:hAnsi="Times New Roman" w:eastAsia="方正仿宋_GBK" w:cs="Times New Roman"/>
          <w:bCs/>
          <w:sz w:val="32"/>
          <w:szCs w:val="32"/>
          <w:lang w:eastAsia="zh-CN"/>
        </w:rPr>
        <w:t>。</w:t>
      </w:r>
      <w:bookmarkEnd w:id="1"/>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Cs/>
          <w:sz w:val="32"/>
          <w:szCs w:val="32"/>
          <w:lang w:eastAsia="zh-CN"/>
        </w:rPr>
      </w:pPr>
      <w:r>
        <w:rPr>
          <w:rStyle w:val="11"/>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309.31</w:t>
      </w:r>
      <w:r>
        <w:rPr>
          <w:rFonts w:hint="default" w:ascii="Times New Roman" w:hAnsi="Times New Roman" w:eastAsia="方正仿宋_GBK" w:cs="Times New Roman"/>
          <w:b w:val="0"/>
          <w:bCs w:val="0"/>
          <w:sz w:val="32"/>
          <w:szCs w:val="32"/>
          <w:shd w:val="clear" w:color="auto" w:fill="FFFFFF"/>
        </w:rPr>
        <w:t>万元，与2023年度相比，增加309.31万元，增长100.0%</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较年初预算数增加137.27万元，增长79.8%。主要原因是</w:t>
      </w:r>
      <w:r>
        <w:rPr>
          <w:rFonts w:hint="default" w:ascii="Times New Roman" w:hAnsi="Times New Roman" w:eastAsia="方正仿宋_GBK" w:cs="Times New Roman"/>
          <w:bCs/>
          <w:sz w:val="32"/>
          <w:szCs w:val="32"/>
          <w:lang w:val="en-US" w:eastAsia="zh-CN"/>
        </w:rPr>
        <w:t>重庆市长寿区基层医疗机构财务核算中心等4个单位2024年机构改革合并到长寿区卫生健康服务中心，2024年11—12月上述4个单位</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津贴补贴、健康休养费、医保、养老保险、住房公积金等在长寿区卫生健康服务中心发放，财政</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追加</w:t>
      </w:r>
      <w:r>
        <w:rPr>
          <w:rFonts w:hint="default" w:ascii="Times New Roman" w:hAnsi="Times New Roman" w:eastAsia="方正仿宋_GBK" w:cs="Times New Roman"/>
          <w:bCs/>
          <w:sz w:val="32"/>
          <w:szCs w:val="32"/>
          <w:lang w:val="en-US" w:eastAsia="zh-CN"/>
        </w:rPr>
        <w:t>137.27万</w:t>
      </w:r>
      <w:r>
        <w:rPr>
          <w:rFonts w:hint="default" w:ascii="Times New Roman" w:hAnsi="Times New Roman" w:eastAsia="方正仿宋_GBK" w:cs="Times New Roman"/>
          <w:bCs/>
          <w:sz w:val="32"/>
          <w:szCs w:val="32"/>
        </w:rPr>
        <w:t>元</w:t>
      </w:r>
      <w:r>
        <w:rPr>
          <w:rFonts w:hint="default" w:ascii="Times New Roman" w:hAnsi="Times New Roman" w:eastAsia="方正仿宋_GBK" w:cs="Times New Roman"/>
          <w:bCs/>
          <w:sz w:val="32"/>
          <w:szCs w:val="32"/>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Style w:val="11"/>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default"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eastAsia="zh-CN"/>
        </w:rPr>
        <w:t>单位2024年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0.89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32.75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10.6%</w:t>
      </w:r>
      <w:r>
        <w:rPr>
          <w:rFonts w:hint="default" w:ascii="Times New Roman" w:hAnsi="Times New Roman" w:eastAsia="方正仿宋_GBK" w:cs="Times New Roman"/>
          <w:b w:val="0"/>
          <w:bCs w:val="0"/>
          <w:sz w:val="32"/>
          <w:szCs w:val="32"/>
          <w:shd w:val="clear" w:color="auto" w:fill="FFFFFF"/>
        </w:rPr>
        <w:t>，较年初预算数增加18.46万元，增长129.2%，主要原因是</w:t>
      </w:r>
      <w:r>
        <w:rPr>
          <w:rFonts w:hint="default" w:ascii="Times New Roman" w:hAnsi="Times New Roman" w:eastAsia="方正仿宋_GBK" w:cs="Times New Roman"/>
          <w:bCs/>
          <w:sz w:val="32"/>
          <w:szCs w:val="32"/>
          <w:lang w:val="en-US" w:eastAsia="zh-CN"/>
        </w:rPr>
        <w:t>重庆市长寿区基层医疗机构财务核算中心等4个单位2024年机构改革合并到长寿区卫生健康服务中心，2024年11—12月上述4个单位养老保险</w:t>
      </w:r>
      <w:r>
        <w:rPr>
          <w:rFonts w:hint="eastAsia" w:ascii="Times New Roman" w:hAnsi="Times New Roman" w:eastAsia="方正仿宋_GBK" w:cs="Times New Roman"/>
          <w:bCs/>
          <w:sz w:val="32"/>
          <w:szCs w:val="32"/>
          <w:lang w:val="en-US" w:eastAsia="zh-CN"/>
        </w:rPr>
        <w:t>、职业年金</w:t>
      </w:r>
      <w:r>
        <w:rPr>
          <w:rFonts w:hint="default" w:ascii="Times New Roman" w:hAnsi="Times New Roman" w:eastAsia="方正仿宋_GBK" w:cs="Times New Roman"/>
          <w:bCs/>
          <w:sz w:val="32"/>
          <w:szCs w:val="32"/>
          <w:lang w:val="en-US" w:eastAsia="zh-CN"/>
        </w:rPr>
        <w:t>在长寿区卫生健康服务中心</w:t>
      </w:r>
      <w:r>
        <w:rPr>
          <w:rFonts w:hint="eastAsia" w:ascii="Times New Roman" w:hAnsi="Times New Roman" w:eastAsia="方正仿宋_GBK" w:cs="Times New Roman"/>
          <w:bCs/>
          <w:sz w:val="32"/>
          <w:szCs w:val="32"/>
          <w:lang w:val="en-US" w:eastAsia="zh-CN"/>
        </w:rPr>
        <w:t>缴纳</w:t>
      </w:r>
      <w:r>
        <w:rPr>
          <w:rFonts w:hint="default" w:ascii="Times New Roman" w:hAnsi="Times New Roman" w:eastAsia="方正仿宋_GBK" w:cs="Times New Roman"/>
          <w:bCs/>
          <w:sz w:val="32"/>
          <w:szCs w:val="32"/>
          <w:lang w:val="en-US" w:eastAsia="zh-CN"/>
        </w:rPr>
        <w:t>，财政</w:t>
      </w:r>
      <w:r>
        <w:rPr>
          <w:rFonts w:hint="eastAsia" w:ascii="Times New Roman" w:hAnsi="Times New Roman" w:eastAsia="方正仿宋_GBK" w:cs="Times New Roman"/>
          <w:bCs/>
          <w:sz w:val="32"/>
          <w:szCs w:val="32"/>
          <w:lang w:val="en-US" w:eastAsia="zh-CN"/>
        </w:rPr>
        <w:t>进行</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追加预算</w:t>
      </w:r>
      <w:r>
        <w:rPr>
          <w:rFonts w:hint="default" w:ascii="Times New Roman" w:hAnsi="Times New Roman" w:eastAsia="方正仿宋_GBK" w:cs="Times New Roman"/>
          <w:bCs/>
          <w:sz w:val="32"/>
          <w:szCs w:val="32"/>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264.81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85.6%</w:t>
      </w:r>
      <w:r>
        <w:rPr>
          <w:rFonts w:hint="default" w:ascii="Times New Roman" w:hAnsi="Times New Roman" w:eastAsia="方正仿宋_GBK" w:cs="Times New Roman"/>
          <w:b w:val="0"/>
          <w:bCs w:val="0"/>
          <w:sz w:val="32"/>
          <w:szCs w:val="32"/>
          <w:shd w:val="clear" w:color="auto" w:fill="FFFFFF"/>
        </w:rPr>
        <w:t>，较年初预算数增加115.10万元，增长76.9%，主要原因是</w:t>
      </w:r>
      <w:r>
        <w:rPr>
          <w:rFonts w:hint="default" w:ascii="Times New Roman" w:hAnsi="Times New Roman" w:eastAsia="方正仿宋_GBK" w:cs="Times New Roman"/>
          <w:bCs/>
          <w:sz w:val="32"/>
          <w:szCs w:val="32"/>
          <w:lang w:val="en-US" w:eastAsia="zh-CN"/>
        </w:rPr>
        <w:t>重庆市长寿区基层医疗机构财务核算中心等4个单位2024年机构改革合并到长寿区卫生健康服务中心，2024年11—12月上述4个单位</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津贴补贴、健康休养费等在长寿区卫生健康服务中心发放，财政</w:t>
      </w:r>
      <w:r>
        <w:rPr>
          <w:rFonts w:hint="eastAsia" w:ascii="Times New Roman" w:hAnsi="Times New Roman" w:eastAsia="方正仿宋_GBK" w:cs="Times New Roman"/>
          <w:bCs/>
          <w:sz w:val="32"/>
          <w:szCs w:val="32"/>
          <w:lang w:val="en-US" w:eastAsia="zh-CN"/>
        </w:rPr>
        <w:t>进行</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追加预算</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住房保障支出10.86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3.5%</w:t>
      </w:r>
      <w:r>
        <w:rPr>
          <w:rFonts w:hint="default" w:ascii="Times New Roman" w:hAnsi="Times New Roman" w:eastAsia="方正仿宋_GBK" w:cs="Times New Roman"/>
          <w:b w:val="0"/>
          <w:bCs w:val="0"/>
          <w:sz w:val="32"/>
          <w:szCs w:val="32"/>
          <w:shd w:val="clear" w:color="auto" w:fill="FFFFFF"/>
        </w:rPr>
        <w:t>，较年初预算数增加3.71万元，增长51.9%，主要原因是</w:t>
      </w:r>
      <w:r>
        <w:rPr>
          <w:rFonts w:hint="default" w:ascii="Times New Roman" w:hAnsi="Times New Roman" w:eastAsia="方正仿宋_GBK" w:cs="Times New Roman"/>
          <w:bCs/>
          <w:sz w:val="32"/>
          <w:szCs w:val="32"/>
          <w:lang w:val="en-US" w:eastAsia="zh-CN"/>
        </w:rPr>
        <w:t>重庆市长寿区基层医疗机构财务核算中心等4个单位2024年机构改革合并到长寿区卫生健康服务中心，2024年11—12月上述4个单位住房公积金等在长寿区卫生健康服务中心</w:t>
      </w:r>
      <w:r>
        <w:rPr>
          <w:rFonts w:hint="eastAsia" w:ascii="Times New Roman" w:hAnsi="Times New Roman" w:eastAsia="方正仿宋_GBK" w:cs="Times New Roman"/>
          <w:bCs/>
          <w:sz w:val="32"/>
          <w:szCs w:val="32"/>
          <w:lang w:val="en-US" w:eastAsia="zh-CN"/>
        </w:rPr>
        <w:t>缴纳</w:t>
      </w:r>
      <w:r>
        <w:rPr>
          <w:rFonts w:hint="default" w:ascii="Times New Roman" w:hAnsi="Times New Roman" w:eastAsia="方正仿宋_GBK" w:cs="Times New Roman"/>
          <w:bCs/>
          <w:sz w:val="32"/>
          <w:szCs w:val="32"/>
          <w:lang w:val="en-US" w:eastAsia="zh-CN"/>
        </w:rPr>
        <w:t>，财政</w:t>
      </w:r>
      <w:r>
        <w:rPr>
          <w:rFonts w:hint="eastAsia" w:ascii="Times New Roman" w:hAnsi="Times New Roman" w:eastAsia="方正仿宋_GBK" w:cs="Times New Roman"/>
          <w:bCs/>
          <w:sz w:val="32"/>
          <w:szCs w:val="32"/>
          <w:lang w:val="en-US" w:eastAsia="zh-CN"/>
        </w:rPr>
        <w:t>进行</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追加预算</w:t>
      </w:r>
      <w:r>
        <w:rPr>
          <w:rFonts w:hint="default" w:ascii="Times New Roman" w:hAnsi="Times New Roman" w:eastAsia="方正仿宋_GBK" w:cs="Times New Roman"/>
          <w:bCs/>
          <w:sz w:val="32"/>
          <w:szCs w:val="32"/>
          <w:lang w:eastAsia="zh-CN"/>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309.31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246.21</w:t>
      </w:r>
      <w:r>
        <w:rPr>
          <w:rFonts w:hint="default" w:ascii="Times New Roman" w:hAnsi="Times New Roman" w:eastAsia="方正仿宋_GBK" w:cs="Times New Roman"/>
          <w:b w:val="0"/>
          <w:bCs w:val="0"/>
          <w:sz w:val="32"/>
          <w:szCs w:val="32"/>
          <w:shd w:val="clear" w:color="auto" w:fill="FFFFFF"/>
        </w:rPr>
        <w:t>万元，与2023年度相比，增加246.21万元，增长100.0%，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63.10</w:t>
      </w:r>
      <w:r>
        <w:rPr>
          <w:rFonts w:hint="default" w:ascii="Times New Roman" w:hAnsi="Times New Roman" w:eastAsia="方正仿宋_GBK" w:cs="Times New Roman"/>
          <w:b w:val="0"/>
          <w:bCs w:val="0"/>
          <w:sz w:val="32"/>
          <w:szCs w:val="32"/>
          <w:shd w:val="clear" w:color="auto" w:fill="FFFFFF"/>
        </w:rPr>
        <w:t>万元，与2023年度相比，增加63.10万元，增长100.0%，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办公费、资料印刷费、差旅费、培训费、劳务费、委托业务费和其他商品服务支出等。</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11"/>
          <w:rFonts w:hint="default" w:ascii="Times New Roman" w:hAnsi="Times New Roman" w:eastAsia="方正仿宋_GBK" w:cs="Times New Roman"/>
          <w:b w:val="0"/>
          <w:bCs w:val="0"/>
          <w:sz w:val="32"/>
          <w:szCs w:val="32"/>
          <w:shd w:val="clear" w:color="auto" w:fill="auto"/>
        </w:rPr>
        <w:t>本单位</w:t>
      </w:r>
      <w:r>
        <w:rPr>
          <w:rStyle w:val="11"/>
          <w:rFonts w:hint="default" w:ascii="Times New Roman" w:hAnsi="Times New Roman" w:eastAsia="方正仿宋_GBK" w:cs="Times New Roman"/>
          <w:b w:val="0"/>
          <w:bCs w:val="0"/>
          <w:sz w:val="32"/>
          <w:szCs w:val="32"/>
          <w:shd w:val="clear" w:color="auto" w:fill="auto"/>
          <w:lang w:eastAsia="zh-CN"/>
        </w:rPr>
        <w:t>2024年</w:t>
      </w:r>
      <w:r>
        <w:rPr>
          <w:rStyle w:val="11"/>
          <w:rFonts w:hint="default" w:ascii="Times New Roman" w:hAnsi="Times New Roman" w:eastAsia="方正仿宋_GBK" w:cs="Times New Roman"/>
          <w:b w:val="0"/>
          <w:bCs w:val="0"/>
          <w:sz w:val="32"/>
          <w:szCs w:val="32"/>
          <w:shd w:val="clear" w:color="auto" w:fill="auto"/>
        </w:rPr>
        <w:t>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三、</w:t>
      </w:r>
      <w:r>
        <w:rPr>
          <w:rStyle w:val="11"/>
          <w:rFonts w:hint="default" w:ascii="Times New Roman" w:hAnsi="Times New Roman" w:eastAsia="黑体" w:cs="Times New Roman"/>
          <w:b w:val="0"/>
          <w:bCs w:val="0"/>
          <w:sz w:val="32"/>
          <w:szCs w:val="32"/>
          <w:shd w:val="clear" w:color="auto" w:fill="FFFFFF"/>
          <w:lang w:eastAsia="zh-CN"/>
        </w:rPr>
        <w:t>财政拨款</w:t>
      </w:r>
      <w:r>
        <w:rPr>
          <w:rStyle w:val="11"/>
          <w:rFonts w:hint="default" w:ascii="Times New Roman" w:hAnsi="Times New Roman" w:eastAsia="黑体" w:cs="Times New Roman"/>
          <w:b w:val="0"/>
          <w:bCs w:val="0"/>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1.19</w:t>
      </w:r>
      <w:r>
        <w:rPr>
          <w:rFonts w:hint="default" w:ascii="Times New Roman" w:hAnsi="Times New Roman" w:eastAsia="方正仿宋_GBK" w:cs="Times New Roman"/>
          <w:b w:val="0"/>
          <w:bCs w:val="0"/>
          <w:sz w:val="32"/>
          <w:szCs w:val="32"/>
          <w:shd w:val="clear" w:color="auto" w:fill="FFFFFF"/>
        </w:rPr>
        <w:t>万元，较年初预算数减少2.81万元，下降70.3%，</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本单位与区卫生健康委合署办公，部分经费列支在了区卫生健康委</w:t>
      </w:r>
      <w:r>
        <w:rPr>
          <w:rFonts w:hint="default" w:ascii="Times New Roman" w:hAnsi="Times New Roman" w:eastAsia="方正仿宋_GBK" w:cs="Times New Roman"/>
          <w:b w:val="0"/>
          <w:bCs w:val="0"/>
          <w:color w:val="auto"/>
          <w:sz w:val="32"/>
          <w:szCs w:val="32"/>
          <w:shd w:val="clear" w:color="auto" w:fill="FFFFFF"/>
        </w:rPr>
        <w:t>。较</w:t>
      </w:r>
      <w:r>
        <w:rPr>
          <w:rFonts w:hint="default" w:ascii="Times New Roman" w:hAnsi="Times New Roman" w:eastAsia="方正仿宋_GBK" w:cs="Times New Roman"/>
          <w:b w:val="0"/>
          <w:bCs w:val="0"/>
          <w:sz w:val="32"/>
          <w:szCs w:val="32"/>
          <w:shd w:val="clear" w:color="auto" w:fill="FFFFFF"/>
        </w:rPr>
        <w:t>上年支出数增加1.19万元，增长100.0%，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bookmarkStart w:id="2" w:name="OLE_LINK1"/>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bookmarkEnd w:id="2"/>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highlight w:val="none"/>
          <w:shd w:val="clear" w:color="auto" w:fill="FFFFFF"/>
        </w:rPr>
        <w:t>公务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车运行维</w:t>
      </w:r>
      <w:r>
        <w:rPr>
          <w:rFonts w:hint="default" w:ascii="Times New Roman" w:hAnsi="Times New Roman" w:eastAsia="方正仿宋_GBK" w:cs="Times New Roman"/>
          <w:b w:val="0"/>
          <w:bCs w:val="0"/>
          <w:sz w:val="32"/>
          <w:szCs w:val="32"/>
          <w:shd w:val="clear" w:color="auto" w:fill="FFFFFF"/>
        </w:rPr>
        <w:t>护费</w:t>
      </w:r>
      <w:r>
        <w:rPr>
          <w:rFonts w:hint="default" w:ascii="Times New Roman" w:hAnsi="Times New Roman" w:eastAsia="方正仿宋_GBK" w:cs="Times New Roman"/>
          <w:b w:val="0"/>
          <w:bCs w:val="0"/>
          <w:sz w:val="32"/>
          <w:szCs w:val="32"/>
        </w:rPr>
        <w:t>1.19</w:t>
      </w:r>
      <w:r>
        <w:rPr>
          <w:rFonts w:hint="default" w:ascii="Times New Roman" w:hAnsi="Times New Roman" w:eastAsia="方正仿宋_GBK" w:cs="Times New Roman"/>
          <w:b w:val="0"/>
          <w:bCs w:val="0"/>
          <w:sz w:val="32"/>
          <w:szCs w:val="32"/>
          <w:shd w:val="clear" w:color="auto" w:fill="FFFFFF"/>
        </w:rPr>
        <w:t>万元，主要用于</w:t>
      </w:r>
      <w:r>
        <w:rPr>
          <w:rFonts w:hint="eastAsia" w:ascii="Times New Roman" w:hAnsi="Times New Roman" w:eastAsia="方正仿宋_GBK" w:cs="Times New Roman"/>
          <w:b w:val="0"/>
          <w:bCs w:val="0"/>
          <w:color w:val="auto"/>
          <w:sz w:val="32"/>
          <w:szCs w:val="32"/>
          <w:shd w:val="clear" w:color="auto" w:fill="FFFFFF"/>
          <w:lang w:eastAsia="zh-CN"/>
        </w:rPr>
        <w:t>公务用车加油、维修保养、过路过桥发生的费用；</w:t>
      </w:r>
      <w:r>
        <w:rPr>
          <w:rFonts w:hint="default" w:ascii="Times New Roman" w:hAnsi="Times New Roman" w:eastAsia="方正仿宋_GBK" w:cs="Times New Roman"/>
          <w:b w:val="0"/>
          <w:bCs w:val="0"/>
          <w:sz w:val="32"/>
          <w:szCs w:val="32"/>
          <w:shd w:val="clear" w:color="auto" w:fill="FFFFFF"/>
        </w:rPr>
        <w:t>费用支出较年初预算数减少2.81万元，下降70.3%，</w:t>
      </w:r>
      <w:r>
        <w:rPr>
          <w:rFonts w:hint="eastAsia" w:ascii="Times New Roman" w:hAnsi="Times New Roman" w:eastAsia="方正仿宋_GBK" w:cs="Times New Roman"/>
          <w:b w:val="0"/>
          <w:bCs w:val="0"/>
          <w:sz w:val="32"/>
          <w:szCs w:val="32"/>
          <w:shd w:val="clear" w:color="auto" w:fill="FFFFFF"/>
          <w:lang w:eastAsia="zh-CN"/>
        </w:rPr>
        <w:t>主要原因是</w:t>
      </w:r>
      <w:r>
        <w:rPr>
          <w:rFonts w:hint="eastAsia" w:ascii="Times New Roman" w:hAnsi="Times New Roman" w:eastAsia="方正仿宋_GBK" w:cs="Times New Roman"/>
          <w:b w:val="0"/>
          <w:bCs w:val="0"/>
          <w:color w:val="auto"/>
          <w:sz w:val="32"/>
          <w:szCs w:val="32"/>
          <w:shd w:val="clear" w:color="auto" w:fill="FFFFFF"/>
          <w:lang w:eastAsia="zh-CN"/>
        </w:rPr>
        <w:t>本单位与区卫生健康委合署办公，部分经费列支在了区卫生健康委；</w:t>
      </w:r>
      <w:r>
        <w:rPr>
          <w:rFonts w:hint="default" w:ascii="Times New Roman" w:hAnsi="Times New Roman" w:eastAsia="方正仿宋_GBK" w:cs="Times New Roman"/>
          <w:b w:val="0"/>
          <w:bCs w:val="0"/>
          <w:sz w:val="32"/>
          <w:szCs w:val="32"/>
          <w:shd w:val="clear" w:color="auto" w:fill="FFFFFF"/>
        </w:rPr>
        <w:t>较上年支出数增加1.19万元，增长100.0%，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1.19</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0.31</w:t>
      </w:r>
      <w:r>
        <w:rPr>
          <w:rFonts w:hint="default" w:ascii="Times New Roman" w:hAnsi="Times New Roman" w:eastAsia="方正仿宋_GBK" w:cs="Times New Roman"/>
          <w:b w:val="0"/>
          <w:bCs w:val="0"/>
          <w:sz w:val="32"/>
          <w:szCs w:val="32"/>
          <w:shd w:val="clear" w:color="auto" w:fill="FFFFFF"/>
        </w:rPr>
        <w:t>万元，与2023年度相比，增加0.31万元，增长100.0%，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0.89</w:t>
      </w:r>
      <w:r>
        <w:rPr>
          <w:rFonts w:hint="default" w:ascii="Times New Roman" w:hAnsi="Times New Roman" w:eastAsia="方正仿宋_GBK" w:cs="Times New Roman"/>
          <w:b w:val="0"/>
          <w:bCs w:val="0"/>
          <w:sz w:val="32"/>
          <w:szCs w:val="32"/>
          <w:shd w:val="clear" w:color="auto" w:fill="FFFFFF"/>
        </w:rPr>
        <w:t>万元，与2023年度相比，增加0.89万元，增长100.0%，</w:t>
      </w:r>
      <w:r>
        <w:rPr>
          <w:rFonts w:hint="eastAsia" w:ascii="Times New Roman" w:hAnsi="Times New Roman" w:eastAsia="方正仿宋_GBK" w:cs="Times New Roman"/>
          <w:b w:val="0"/>
          <w:bCs w:val="0"/>
          <w:sz w:val="32"/>
          <w:szCs w:val="32"/>
          <w:shd w:val="clear" w:color="auto" w:fill="FFFFFF"/>
          <w:lang w:eastAsia="zh-CN"/>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辆，其中</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机要通信用车</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17"/>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根据预算绩效管理要求，我单位对1个项目开展了绩效自评，涉及财政拨款项目支出资金10万元。</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1"/>
          <w:rFonts w:hint="default" w:ascii="Times New Roman" w:hAnsi="Times New Roman" w:eastAsia="方正仿宋_GBK" w:cs="Times New Roman"/>
          <w:b w:val="0"/>
          <w:bCs w:val="0"/>
          <w:sz w:val="32"/>
          <w:szCs w:val="32"/>
          <w:highlight w:val="none"/>
          <w:shd w:val="clear" w:color="auto" w:fill="FFFFFF"/>
        </w:rPr>
      </w:pPr>
      <w:r>
        <w:rPr>
          <w:rStyle w:val="11"/>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仿宋_GBK" w:cs="Times New Roman"/>
          <w:b w:val="0"/>
          <w:bCs w:val="0"/>
          <w:sz w:val="32"/>
          <w:szCs w:val="32"/>
          <w:shd w:val="clear" w:fill="FFFFFF"/>
        </w:rPr>
        <w:t xml:space="preserve"> </w:t>
      </w:r>
      <w:r>
        <w:rPr>
          <w:rStyle w:val="14"/>
          <w:rFonts w:hint="default" w:ascii="Times New Roman" w:hAnsi="Times New Roman" w:eastAsia="方正仿宋_GBK" w:cs="Times New Roman"/>
          <w:b w:val="0"/>
          <w:bCs w:val="0"/>
          <w:sz w:val="32"/>
          <w:szCs w:val="32"/>
          <w:shd w:val="clear" w:fill="FFFFFF"/>
          <w:lang w:val="en-US" w:eastAsia="zh-CN"/>
        </w:rPr>
        <w:t xml:space="preserve">  </w:t>
      </w:r>
      <w:r>
        <w:rPr>
          <w:rStyle w:val="11"/>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w:t>
      </w:r>
      <w:r>
        <w:rPr>
          <w:rFonts w:hint="eastAsia" w:ascii="Times New Roman" w:hAnsi="Times New Roman" w:eastAsia="方正仿宋_GBK" w:cs="Times New Roman"/>
          <w:b w:val="0"/>
          <w:bCs w:val="0"/>
          <w:kern w:val="0"/>
          <w:sz w:val="32"/>
          <w:szCs w:val="32"/>
          <w:shd w:val="clear" w:fill="FFFFFF"/>
          <w:lang w:eastAsia="zh-CN"/>
        </w:rPr>
        <w:t>、</w:t>
      </w:r>
      <w:r>
        <w:rPr>
          <w:rFonts w:hint="default" w:ascii="Times New Roman" w:hAnsi="Times New Roman" w:eastAsia="方正仿宋_GBK" w:cs="Times New Roman"/>
          <w:b w:val="0"/>
          <w:bCs w:val="0"/>
          <w:kern w:val="0"/>
          <w:sz w:val="32"/>
          <w:szCs w:val="32"/>
          <w:shd w:val="clear" w:fill="FFFFFF"/>
        </w:rPr>
        <w:t>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w:t>
      </w:r>
      <w:r>
        <w:rPr>
          <w:rFonts w:hint="eastAsia" w:ascii="Times New Roman" w:hAnsi="Times New Roman" w:eastAsia="方正仿宋_GBK" w:cs="Times New Roman"/>
          <w:b w:val="0"/>
          <w:bCs w:val="0"/>
          <w:kern w:val="0"/>
          <w:sz w:val="32"/>
          <w:szCs w:val="32"/>
          <w:shd w:val="clear" w:fill="FFFFFF"/>
          <w:lang w:eastAsia="zh-CN"/>
        </w:rPr>
        <w:t>；</w:t>
      </w:r>
      <w:r>
        <w:rPr>
          <w:rFonts w:hint="default" w:ascii="Times New Roman" w:hAnsi="Times New Roman" w:eastAsia="方正仿宋_GBK" w:cs="Times New Roman"/>
          <w:b w:val="0"/>
          <w:bCs w:val="0"/>
          <w:kern w:val="0"/>
          <w:sz w:val="32"/>
          <w:szCs w:val="32"/>
          <w:shd w:val="clear" w:fill="FFFFFF"/>
        </w:rPr>
        <w:t>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bookmarkStart w:id="3" w:name="OLE_LINK4"/>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p>
    <w:bookmarkEnd w:id="0"/>
    <w:bookmarkEnd w:id="3"/>
    <w:p>
      <w:pPr>
        <w:keepNext w:val="0"/>
        <w:keepLines w:val="0"/>
        <w:pageBreakBefore w:val="0"/>
        <w:widowControl w:val="0"/>
        <w:kinsoku/>
        <w:wordWrap/>
        <w:overflowPunct/>
        <w:topLinePunct w:val="0"/>
        <w:autoSpaceDN/>
        <w:bidi w:val="0"/>
        <w:adjustRightInd/>
        <w:spacing w:beforeAutospacing="0" w:afterAutospacing="0" w:line="594" w:lineRule="exact"/>
        <w:jc w:val="both"/>
        <w:rPr>
          <w:rFonts w:hint="default" w:ascii="Times New Roman" w:hAnsi="Times New Roman" w:cs="Times New Roman"/>
          <w:b w:val="0"/>
          <w:bCs w:val="0"/>
          <w:sz w:val="18"/>
          <w:szCs w:val="18"/>
        </w:rPr>
      </w:pP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041D06"/>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A05528F"/>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121425"/>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9B7320"/>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next w:val="4"/>
    <w:qFormat/>
    <w:uiPriority w:val="0"/>
    <w:pPr>
      <w:tabs>
        <w:tab w:val="center" w:pos="4153"/>
        <w:tab w:val="right" w:pos="8306"/>
      </w:tabs>
      <w:snapToGrid w:val="0"/>
    </w:pPr>
    <w:rPr>
      <w:sz w:val="18"/>
      <w:szCs w:val="18"/>
    </w:rPr>
  </w:style>
  <w:style w:type="paragraph" w:customStyle="1" w:styleId="4">
    <w:name w:val="索引 51"/>
    <w:basedOn w:val="1"/>
    <w:next w:val="1"/>
    <w:qFormat/>
    <w:uiPriority w:val="0"/>
    <w:pPr>
      <w:ind w:left="168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UserStyle_0"/>
    <w:qFormat/>
    <w:uiPriority w:val="0"/>
    <w:pPr>
      <w:textAlignment w:val="baseline"/>
    </w:pPr>
    <w:rPr>
      <w:rFonts w:ascii="仿宋_GB2312" w:hAnsi="Calibri" w:eastAsia="仿宋_GB2312" w:cs="Times New Roman"/>
      <w:color w:val="000000"/>
      <w:sz w:val="24"/>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14</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2025-10-11T02:48:57Z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