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OLE_LINK1"/>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重庆市长寿区计划生育协会</w:t>
      </w:r>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一、</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（一）职能职责</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仿宋_GB2312" w:hAnsi="仿宋" w:eastAsia="仿宋_GB2312"/>
          <w:sz w:val="32"/>
          <w:szCs w:val="32"/>
          <w:highlight w:val="none"/>
          <w:lang w:val="en-US" w:eastAsia="zh-CN"/>
        </w:rPr>
        <w:t>1.</w:t>
      </w:r>
      <w:r>
        <w:rPr>
          <w:rFonts w:hint="eastAsia" w:ascii="Times New Roman" w:hAnsi="Times New Roman" w:eastAsia="方正仿宋_GBK" w:cs="Times New Roman"/>
          <w:sz w:val="32"/>
          <w:szCs w:val="32"/>
          <w:lang w:val="en-US" w:eastAsia="zh-CN"/>
        </w:rPr>
        <w:t>坚定不移走中国特色社会主义群团发展道路，自觉接受党的领导，切实增强计划生育协会工作的政治性和计生协组织的先进性群众性，汇聚育龄群众和计划生育家庭推进社会主义现代化建设的强大合力。</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2.切实承担引导育龄群众和计划生育家庭听党话、跟党走的政治任务，把计划生育群众最紧密地团结在党的周围，引导弘扬中华民族传统美德，促进家庭幸福、乡风文明、邻里和谐。</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按照区委和市计生协会要求，指导全区各级计划生育协会按照有关法律法规、《中国计划生育协会章程》和全市及区计生协会会员代表大会确定的任务和作出的决议，组织会员开展具有自身特点的计划生育相关工作和服务活动。</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协助政府有关部门贯彻落实有关计划生育法律、法规和政策，推动计划生育工作；开展人口和计划生育的调查研究、理论研究和与计划生育有关的其他活动，制定发展规划，向党委政府提出政策建议，当好参谋助手。</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开展群众性计划生育的宣传活动，弘扬社会主义核心价值观，引导育龄群众负责任、有计划地生育；广泛普及有关性与生殖健康、优生优育和预防艾滋病等知识，引导群众树立科学、文明、进步的婚育观念和健康生活方式，提升群众生殖健康意识和水平。</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6.组织开展生殖健康咨询、优生优育指导、计划生育保险、计划生育家庭帮扶和流动人口服务，增强计划生育家庭发展能力。</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7.做好计划生育困难和特殊家庭的生活、生产、生育扶助和精神慰藉等服务。</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8.维护育龄群众和计划生育家庭合法权益，倾听群众意见，反映群众诉求，提供维权帮助。推动计划生育基层群众自治，动员、引导会员、群众实行自我管理、自我教育、自我服务、自我监督。</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9.加强基层计生协组织建设、队伍建设和阵地建设，拓展组织覆盖和工作覆盖，创新活动开展和工作评价机制，为计生协事业发展提供保障。</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10.在党委、政府领导下开展计划生育的交流、合作和对外宣传，在性与生殖健康、优生优育、家庭发展等领域中积极发挥作用。</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Style w:val="11"/>
          <w:rFonts w:hint="default" w:ascii="Times New Roman" w:hAnsi="Times New Roman" w:eastAsia="楷体" w:cs="Times New Roman"/>
          <w:b w:val="0"/>
          <w:bCs w:val="0"/>
          <w:sz w:val="32"/>
          <w:szCs w:val="32"/>
          <w:shd w:val="clear" w:color="auto" w:fill="FFFFFF"/>
        </w:rPr>
      </w:pPr>
      <w:r>
        <w:rPr>
          <w:rStyle w:val="11"/>
          <w:rFonts w:hint="default" w:ascii="Times New Roman" w:hAnsi="Times New Roman" w:eastAsia="楷体" w:cs="Times New Roman"/>
          <w:b w:val="0"/>
          <w:bCs w:val="0"/>
          <w:sz w:val="32"/>
          <w:szCs w:val="32"/>
          <w:shd w:val="clear" w:color="auto" w:fill="FFFFFF"/>
        </w:rPr>
        <w:t>（二）机构设置</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重庆市长寿区</w:t>
      </w:r>
      <w:r>
        <w:rPr>
          <w:rFonts w:hint="eastAsia" w:ascii="Times New Roman" w:hAnsi="Times New Roman" w:eastAsia="方正仿宋_GBK" w:cs="Times New Roman"/>
          <w:sz w:val="32"/>
          <w:szCs w:val="32"/>
          <w:lang w:val="en-US" w:eastAsia="zh-CN"/>
        </w:rPr>
        <w:t>计划生育协会是区委领导的群团组织，由长寿区卫生健康委代管。</w:t>
      </w:r>
      <w:r>
        <w:rPr>
          <w:rStyle w:val="11"/>
          <w:rFonts w:hint="default" w:ascii="Times New Roman" w:hAnsi="Times New Roman" w:eastAsia="方正仿宋_GBK" w:cs="Times New Roman"/>
          <w:b w:val="0"/>
          <w:bCs w:val="0"/>
          <w:sz w:val="32"/>
          <w:szCs w:val="32"/>
          <w:shd w:val="clear" w:color="auto" w:fill="FFFFFF"/>
        </w:rPr>
        <w:t>本单位无下级预算单位。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二、</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决算</w:t>
      </w:r>
      <w:r>
        <w:rPr>
          <w:rStyle w:val="11"/>
          <w:rFonts w:hint="default" w:ascii="Times New Roman" w:hAnsi="Times New Roman" w:eastAsia="黑体" w:cs="Times New Roman"/>
          <w:b w:val="0"/>
          <w:bCs w:val="0"/>
          <w:sz w:val="32"/>
          <w:szCs w:val="32"/>
          <w:shd w:val="clear" w:color="auto" w:fill="FFFFFF"/>
          <w:lang w:eastAsia="zh-CN"/>
        </w:rPr>
        <w:t>收支</w:t>
      </w:r>
      <w:r>
        <w:rPr>
          <w:rStyle w:val="11"/>
          <w:rFonts w:hint="default" w:ascii="Times New Roman" w:hAnsi="Times New Roman" w:eastAsia="黑体" w:cs="Times New Roman"/>
          <w:b w:val="0"/>
          <w:bCs w:val="0"/>
          <w:sz w:val="32"/>
          <w:szCs w:val="32"/>
          <w:shd w:val="clear" w:color="auto" w:fill="FFFFFF"/>
        </w:rPr>
        <w:t>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度收入总计83.2万元，支出总计</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万元。收、支与2023年度相比，增加83.2万元，增长100.0%，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度收入合计83.20万元，与2023年度相比，增加83.20万元，增长100.0%，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万元，与2023年度相比，增加83.2万元，增长100.0%，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万元，占100.0%。此外，结余分配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Style w:val="11"/>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度财政拨款收、支总计83.2万元。与202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年相比，财政拨款收、支总计各增加83.2万元，增长100.0%。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万元，与2023年度相比，增加83.2万元，增长100.0%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较年初预算数增加83.2万元，增长100.0%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万元，与2023年度相比，增加83.2万元，增长100.0%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较年初预算数增加83.2万元，增长100.0%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Style w:val="11"/>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1"/>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）教育支出</w:t>
      </w:r>
      <w:r>
        <w:rPr>
          <w:rFonts w:hint="default" w:ascii="Times New Roman" w:hAnsi="Times New Roman" w:eastAsia="方正仿宋_GBK" w:cs="Times New Roman"/>
          <w:b w:val="0"/>
          <w:bCs w:val="0"/>
          <w:sz w:val="32"/>
          <w:szCs w:val="32"/>
        </w:rPr>
        <w:t>0.43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，较年初预算数增加0.43万元，增长100.0%，主要原因是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24.6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29.6%</w:t>
      </w:r>
      <w:r>
        <w:rPr>
          <w:rFonts w:hint="default" w:ascii="Times New Roman" w:hAnsi="Times New Roman" w:eastAsia="方正仿宋_GBK" w:cs="Times New Roman"/>
          <w:b w:val="0"/>
          <w:bCs w:val="0"/>
          <w:sz w:val="32"/>
          <w:szCs w:val="32"/>
          <w:shd w:val="clear" w:color="auto" w:fill="FFFFFF"/>
        </w:rPr>
        <w:t>，较年初预算数增加24.60万元，增长100.0%，主要原因是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53.29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64.1%</w:t>
      </w:r>
      <w:r>
        <w:rPr>
          <w:rFonts w:hint="default" w:ascii="Times New Roman" w:hAnsi="Times New Roman" w:eastAsia="方正仿宋_GBK" w:cs="Times New Roman"/>
          <w:b w:val="0"/>
          <w:bCs w:val="0"/>
          <w:sz w:val="32"/>
          <w:szCs w:val="32"/>
          <w:shd w:val="clear" w:color="auto" w:fill="FFFFFF"/>
        </w:rPr>
        <w:t>，较年初预算数增加53.29万元，增长100.0%，主要原因是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住房保障支出4.88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5.9%</w:t>
      </w:r>
      <w:r>
        <w:rPr>
          <w:rFonts w:hint="default" w:ascii="Times New Roman" w:hAnsi="Times New Roman" w:eastAsia="方正仿宋_GBK" w:cs="Times New Roman"/>
          <w:b w:val="0"/>
          <w:bCs w:val="0"/>
          <w:sz w:val="32"/>
          <w:szCs w:val="32"/>
          <w:shd w:val="clear" w:color="auto" w:fill="FFFFFF"/>
        </w:rPr>
        <w:t>，较年初预算数增加4.88万元，增长100.0%，主要原因是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83.2</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72.64</w:t>
      </w:r>
      <w:r>
        <w:rPr>
          <w:rFonts w:hint="default" w:ascii="Times New Roman" w:hAnsi="Times New Roman" w:eastAsia="方正仿宋_GBK" w:cs="Times New Roman"/>
          <w:b w:val="0"/>
          <w:bCs w:val="0"/>
          <w:sz w:val="32"/>
          <w:szCs w:val="32"/>
          <w:shd w:val="clear" w:color="auto" w:fill="FFFFFF"/>
        </w:rPr>
        <w:t>万元，与2023年度相比，增加72.64万元，增长100.0%，主要原因是</w:t>
      </w:r>
      <w:bookmarkStart w:id="1" w:name="OLE_LINK2"/>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bookmarkEnd w:id="1"/>
      <w:r>
        <w:rPr>
          <w:rFonts w:hint="eastAsia"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10.57</w:t>
      </w:r>
      <w:r>
        <w:rPr>
          <w:rFonts w:hint="default" w:ascii="Times New Roman" w:hAnsi="Times New Roman" w:eastAsia="方正仿宋_GBK" w:cs="Times New Roman"/>
          <w:b w:val="0"/>
          <w:bCs w:val="0"/>
          <w:sz w:val="32"/>
          <w:szCs w:val="32"/>
          <w:shd w:val="clear" w:color="auto" w:fill="FFFFFF"/>
        </w:rPr>
        <w:t>万元，与2023年度相比，增加10.57万元，增长100.0%，主要原因是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w:t>
      </w:r>
      <w:r>
        <w:rPr>
          <w:rFonts w:hint="eastAsia" w:ascii="Times New Roman" w:hAnsi="Times New Roman" w:eastAsia="方正仿宋_GBK" w:cs="Times New Roman"/>
          <w:b w:val="0"/>
          <w:bCs w:val="0"/>
          <w:color w:val="000000"/>
          <w:sz w:val="32"/>
          <w:szCs w:val="32"/>
          <w:lang w:eastAsia="zh-CN"/>
        </w:rPr>
        <w:t>公务接待费、</w:t>
      </w:r>
      <w:r>
        <w:rPr>
          <w:rFonts w:hint="default" w:ascii="Times New Roman" w:hAnsi="Times New Roman" w:eastAsia="方正仿宋_GBK" w:cs="Times New Roman"/>
          <w:b w:val="0"/>
          <w:bCs w:val="0"/>
          <w:color w:val="000000"/>
          <w:sz w:val="32"/>
          <w:szCs w:val="32"/>
          <w:lang w:eastAsia="zh-CN"/>
        </w:rPr>
        <w:t>委托业务费和其他商品服务支出等。</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auto"/>
        </w:rPr>
      </w:pPr>
      <w:r>
        <w:rPr>
          <w:rStyle w:val="11"/>
          <w:rFonts w:hint="default" w:ascii="Times New Roman" w:hAnsi="Times New Roman" w:eastAsia="方正仿宋_GBK" w:cs="Times New Roman"/>
          <w:b w:val="0"/>
          <w:bCs w:val="0"/>
          <w:sz w:val="32"/>
          <w:szCs w:val="32"/>
          <w:shd w:val="clear" w:color="auto" w:fill="auto"/>
        </w:rPr>
        <w:t>本</w:t>
      </w:r>
      <w:r>
        <w:rPr>
          <w:rStyle w:val="11"/>
          <w:rFonts w:hint="eastAsia" w:ascii="Times New Roman" w:hAnsi="Times New Roman" w:eastAsia="方正仿宋_GBK" w:cs="Times New Roman"/>
          <w:b w:val="0"/>
          <w:bCs w:val="0"/>
          <w:sz w:val="32"/>
          <w:szCs w:val="32"/>
          <w:shd w:val="clear" w:color="auto" w:fill="auto"/>
          <w:lang w:eastAsia="zh-CN"/>
        </w:rPr>
        <w:t>单位</w:t>
      </w:r>
      <w:r>
        <w:rPr>
          <w:rStyle w:val="11"/>
          <w:rFonts w:hint="default" w:ascii="Times New Roman" w:hAnsi="Times New Roman" w:eastAsia="方正仿宋_GBK" w:cs="Times New Roman"/>
          <w:b w:val="0"/>
          <w:bCs w:val="0"/>
          <w:sz w:val="32"/>
          <w:szCs w:val="32"/>
          <w:shd w:val="clear" w:color="auto" w:fill="auto"/>
          <w:lang w:eastAsia="zh-CN"/>
        </w:rPr>
        <w:t>2024年</w:t>
      </w:r>
      <w:r>
        <w:rPr>
          <w:rStyle w:val="11"/>
          <w:rFonts w:hint="default" w:ascii="Times New Roman" w:hAnsi="Times New Roman" w:eastAsia="方正仿宋_GBK" w:cs="Times New Roman"/>
          <w:b w:val="0"/>
          <w:bCs w:val="0"/>
          <w:sz w:val="32"/>
          <w:szCs w:val="32"/>
          <w:shd w:val="clear" w:color="auto" w:fill="auto"/>
        </w:rPr>
        <w:t>度无政府性基金预算财政拨款收支。</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11"/>
          <w:rFonts w:hint="default" w:ascii="Times New Roman" w:hAnsi="Times New Roman" w:eastAsia="方正仿宋_GBK" w:cs="Times New Roman"/>
          <w:b w:val="0"/>
          <w:bCs w:val="0"/>
          <w:sz w:val="32"/>
          <w:szCs w:val="32"/>
          <w:shd w:val="clear" w:color="auto" w:fill="auto"/>
        </w:rPr>
        <w:t>本单位</w:t>
      </w:r>
      <w:r>
        <w:rPr>
          <w:rStyle w:val="11"/>
          <w:rFonts w:hint="default" w:ascii="Times New Roman" w:hAnsi="Times New Roman" w:eastAsia="方正仿宋_GBK" w:cs="Times New Roman"/>
          <w:b w:val="0"/>
          <w:bCs w:val="0"/>
          <w:sz w:val="32"/>
          <w:szCs w:val="32"/>
          <w:shd w:val="clear" w:color="auto" w:fill="auto"/>
          <w:lang w:eastAsia="zh-CN"/>
        </w:rPr>
        <w:t>2024年</w:t>
      </w:r>
      <w:r>
        <w:rPr>
          <w:rStyle w:val="11"/>
          <w:rFonts w:hint="default" w:ascii="Times New Roman" w:hAnsi="Times New Roman" w:eastAsia="方正仿宋_GBK" w:cs="Times New Roman"/>
          <w:b w:val="0"/>
          <w:bCs w:val="0"/>
          <w:sz w:val="32"/>
          <w:szCs w:val="32"/>
          <w:shd w:val="clear" w:color="auto" w:fill="auto"/>
        </w:rPr>
        <w:t>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三、</w:t>
      </w:r>
      <w:r>
        <w:rPr>
          <w:rStyle w:val="11"/>
          <w:rFonts w:hint="default" w:ascii="Times New Roman" w:hAnsi="Times New Roman" w:eastAsia="黑体" w:cs="Times New Roman"/>
          <w:b w:val="0"/>
          <w:bCs w:val="0"/>
          <w:sz w:val="32"/>
          <w:szCs w:val="32"/>
          <w:shd w:val="clear" w:color="auto" w:fill="FFFFFF"/>
          <w:lang w:eastAsia="zh-CN"/>
        </w:rPr>
        <w:t>财政拨款</w:t>
      </w:r>
      <w:r>
        <w:rPr>
          <w:rStyle w:val="11"/>
          <w:rFonts w:hint="default" w:ascii="Times New Roman" w:hAnsi="Times New Roman" w:eastAsia="黑体" w:cs="Times New Roman"/>
          <w:b w:val="0"/>
          <w:bCs w:val="0"/>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0.32</w:t>
      </w:r>
      <w:r>
        <w:rPr>
          <w:rFonts w:hint="default" w:ascii="Times New Roman" w:hAnsi="Times New Roman" w:eastAsia="方正仿宋_GBK" w:cs="Times New Roman"/>
          <w:b w:val="0"/>
          <w:bCs w:val="0"/>
          <w:sz w:val="32"/>
          <w:szCs w:val="32"/>
          <w:shd w:val="clear" w:color="auto" w:fill="FFFFFF"/>
        </w:rPr>
        <w:t>万元，较年初预算数增加0.32万元，增长100.0%，主要原因是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本单位2024年未单独编制预算。</w:t>
      </w:r>
      <w:r>
        <w:rPr>
          <w:rFonts w:hint="default" w:ascii="Times New Roman" w:hAnsi="Times New Roman" w:eastAsia="方正仿宋_GBK" w:cs="Times New Roman"/>
          <w:b w:val="0"/>
          <w:bCs w:val="0"/>
          <w:sz w:val="32"/>
          <w:szCs w:val="32"/>
          <w:shd w:val="clear" w:color="auto" w:fill="FFFFFF"/>
        </w:rPr>
        <w:t>较上年支出数增加0.32万元，增长100.0%，主要原因是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bookmarkStart w:id="2" w:name="_GoBack"/>
      <w:bookmarkEnd w:id="2"/>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0.32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主要用于接待</w:t>
      </w:r>
      <w:r>
        <w:rPr>
          <w:rFonts w:hint="eastAsia" w:ascii="Times New Roman" w:hAnsi="Times New Roman" w:eastAsia="方正仿宋_GBK" w:cs="Times New Roman"/>
          <w:b w:val="0"/>
          <w:bCs w:val="0"/>
          <w:color w:val="auto"/>
          <w:sz w:val="32"/>
          <w:szCs w:val="32"/>
          <w:shd w:val="clear" w:color="auto" w:fill="FFFFFF"/>
          <w:lang w:eastAsia="zh-CN"/>
        </w:rPr>
        <w:t>上级部门调研、检查产生的费用；</w:t>
      </w:r>
      <w:r>
        <w:rPr>
          <w:rFonts w:hint="default" w:ascii="Times New Roman" w:hAnsi="Times New Roman" w:eastAsia="方正仿宋_GBK" w:cs="Times New Roman"/>
          <w:b w:val="0"/>
          <w:bCs w:val="0"/>
          <w:sz w:val="32"/>
          <w:szCs w:val="32"/>
          <w:shd w:val="clear" w:color="auto" w:fill="FFFFFF"/>
        </w:rPr>
        <w:t>费用支出较年初预算数增加0.32万元，增长100.0%，主要原因是</w:t>
      </w:r>
      <w:r>
        <w:rPr>
          <w:rFonts w:hint="eastAsia" w:ascii="Times New Roman" w:hAnsi="Times New Roman" w:eastAsia="方正仿宋_GBK" w:cs="Times New Roman"/>
          <w:b w:val="0"/>
          <w:bCs w:val="0"/>
          <w:color w:val="auto"/>
          <w:sz w:val="32"/>
          <w:szCs w:val="32"/>
          <w:shd w:val="clear" w:color="auto" w:fill="FFFFFF"/>
          <w:lang w:eastAsia="zh-CN"/>
        </w:rPr>
        <w:t>本单位未编制</w:t>
      </w:r>
      <w:r>
        <w:rPr>
          <w:rFonts w:hint="eastAsia" w:ascii="Times New Roman" w:hAnsi="Times New Roman" w:eastAsia="方正仿宋_GBK" w:cs="Times New Roman"/>
          <w:b w:val="0"/>
          <w:bCs w:val="0"/>
          <w:color w:val="auto"/>
          <w:sz w:val="32"/>
          <w:szCs w:val="32"/>
          <w:shd w:val="clear" w:color="auto" w:fill="FFFFFF"/>
          <w:lang w:val="en-US" w:eastAsia="zh-CN"/>
        </w:rPr>
        <w:t>2024年预算；</w:t>
      </w:r>
      <w:r>
        <w:rPr>
          <w:rFonts w:hint="default" w:ascii="Times New Roman" w:hAnsi="Times New Roman" w:eastAsia="方正仿宋_GBK" w:cs="Times New Roman"/>
          <w:b w:val="0"/>
          <w:bCs w:val="0"/>
          <w:sz w:val="32"/>
          <w:szCs w:val="32"/>
          <w:shd w:val="clear" w:color="auto" w:fill="FFFFFF"/>
        </w:rPr>
        <w:t>较上年支出数增加0.32万元，增长100.0%，主要原因是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21</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150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0.32</w:t>
      </w:r>
      <w:r>
        <w:rPr>
          <w:rFonts w:hint="default" w:ascii="Times New Roman" w:hAnsi="Times New Roman" w:eastAsia="方正仿宋_GBK" w:cs="Times New Roman"/>
          <w:b w:val="0"/>
          <w:bCs w:val="0"/>
          <w:sz w:val="32"/>
          <w:szCs w:val="32"/>
          <w:shd w:val="clear" w:color="auto" w:fill="FFFFFF"/>
        </w:rPr>
        <w:t>万元，与2023年度相比，增加0.32万元，增长100.0%，主要原因是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0.43</w:t>
      </w:r>
      <w:r>
        <w:rPr>
          <w:rFonts w:hint="default" w:ascii="Times New Roman" w:hAnsi="Times New Roman" w:eastAsia="方正仿宋_GBK" w:cs="Times New Roman"/>
          <w:b w:val="0"/>
          <w:bCs w:val="0"/>
          <w:sz w:val="32"/>
          <w:szCs w:val="32"/>
          <w:shd w:val="clear" w:color="auto" w:fill="FFFFFF"/>
        </w:rPr>
        <w:t>万元，与2023年度相比，增加0.43万元，增长100.0%，主要原因是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10.57</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color w:val="000000"/>
          <w:sz w:val="32"/>
          <w:szCs w:val="32"/>
          <w:lang w:eastAsia="zh-CN"/>
        </w:rPr>
        <w:t>办公费、资料印刷费</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公务接待费、差旅费、培训费、劳务费、委托业务费和其他商品服务支出等。</w:t>
      </w:r>
      <w:r>
        <w:rPr>
          <w:rFonts w:hint="default" w:ascii="Times New Roman" w:hAnsi="Times New Roman" w:eastAsia="方正仿宋_GBK" w:cs="Times New Roman"/>
          <w:b w:val="0"/>
          <w:bCs w:val="0"/>
          <w:sz w:val="32"/>
          <w:szCs w:val="32"/>
          <w:shd w:val="clear" w:color="auto" w:fill="FFFFFF"/>
        </w:rPr>
        <w:t>机关运行经费较上年支出数增加10.57万元，增长100.0%，主要原因是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lang w:val="en-US" w:eastAsia="zh-CN" w:bidi="ar"/>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b w:val="0"/>
          <w:bCs w:val="0"/>
          <w:kern w:val="0"/>
          <w:sz w:val="32"/>
          <w:szCs w:val="32"/>
          <w:highlight w:val="none"/>
          <w:lang w:val="en-US" w:eastAsia="zh-CN" w:bidi="ar"/>
        </w:rPr>
      </w:pPr>
      <w:r>
        <w:rPr>
          <w:rFonts w:hint="eastAsia" w:ascii="Times New Roman" w:hAnsi="Times New Roman" w:eastAsia="方正仿宋_GBK" w:cs="Times New Roman"/>
          <w:b w:val="0"/>
          <w:bCs w:val="0"/>
          <w:kern w:val="0"/>
          <w:sz w:val="32"/>
          <w:szCs w:val="32"/>
          <w:highlight w:val="none"/>
          <w:lang w:val="en-US" w:eastAsia="zh-CN" w:bidi="ar"/>
        </w:rPr>
        <w:t>本年度本单位未开展绩效自评。</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Times New Roman"/>
          <w:b w:val="0"/>
          <w:bCs w:val="0"/>
          <w:kern w:val="0"/>
          <w:sz w:val="32"/>
          <w:szCs w:val="32"/>
          <w:highlight w:val="none"/>
          <w:lang w:val="en-US" w:eastAsia="zh-CN" w:bidi="ar"/>
        </w:rPr>
      </w:pPr>
      <w:r>
        <w:rPr>
          <w:rFonts w:hint="eastAsia" w:ascii="Times New Roman" w:hAnsi="Times New Roman" w:eastAsia="方正仿宋_GBK" w:cs="Times New Roman"/>
          <w:b w:val="0"/>
          <w:bCs w:val="0"/>
          <w:kern w:val="0"/>
          <w:sz w:val="32"/>
          <w:szCs w:val="32"/>
          <w:highlight w:val="none"/>
          <w:lang w:val="en-US" w:eastAsia="zh-CN" w:bidi="ar"/>
        </w:rPr>
        <w:t>本年度本单位未开展绩效自评。</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1"/>
          <w:rFonts w:hint="default" w:ascii="Times New Roman" w:hAnsi="Times New Roman" w:eastAsia="方正仿宋_GBK" w:cs="Times New Roman"/>
          <w:b w:val="0"/>
          <w:bCs w:val="0"/>
          <w:sz w:val="32"/>
          <w:szCs w:val="32"/>
          <w:highlight w:val="none"/>
          <w:shd w:val="clear" w:color="auto" w:fill="FFFFFF"/>
        </w:rPr>
      </w:pPr>
      <w:r>
        <w:rPr>
          <w:rStyle w:val="11"/>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仿宋_GBK" w:cs="Times New Roman"/>
          <w:b w:val="0"/>
          <w:bCs w:val="0"/>
          <w:sz w:val="32"/>
          <w:szCs w:val="32"/>
          <w:shd w:val="clear" w:fill="FFFFFF"/>
        </w:rPr>
        <w:t xml:space="preserve"> </w:t>
      </w:r>
      <w:r>
        <w:rPr>
          <w:rStyle w:val="14"/>
          <w:rFonts w:hint="default" w:ascii="Times New Roman" w:hAnsi="Times New Roman" w:eastAsia="方正仿宋_GBK" w:cs="Times New Roman"/>
          <w:b w:val="0"/>
          <w:bCs w:val="0"/>
          <w:sz w:val="32"/>
          <w:szCs w:val="32"/>
          <w:shd w:val="clear" w:fill="FFFFFF"/>
          <w:lang w:val="en-US" w:eastAsia="zh-CN"/>
        </w:rPr>
        <w:t xml:space="preserve">  </w:t>
      </w:r>
      <w:r>
        <w:rPr>
          <w:rStyle w:val="11"/>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w:t>
      </w:r>
      <w:r>
        <w:rPr>
          <w:rFonts w:hint="eastAsia" w:ascii="Times New Roman" w:hAnsi="Times New Roman" w:eastAsia="方正仿宋_GBK" w:cs="Times New Roman"/>
          <w:b w:val="0"/>
          <w:bCs w:val="0"/>
          <w:kern w:val="0"/>
          <w:sz w:val="32"/>
          <w:szCs w:val="32"/>
          <w:shd w:val="clear" w:fill="FFFFFF"/>
          <w:lang w:eastAsia="zh-CN"/>
        </w:rPr>
        <w:t>、</w:t>
      </w:r>
      <w:r>
        <w:rPr>
          <w:rFonts w:hint="default" w:ascii="Times New Roman" w:hAnsi="Times New Roman" w:eastAsia="方正仿宋_GBK" w:cs="Times New Roman"/>
          <w:b w:val="0"/>
          <w:bCs w:val="0"/>
          <w:kern w:val="0"/>
          <w:sz w:val="32"/>
          <w:szCs w:val="32"/>
          <w:shd w:val="clear" w:fill="FFFFFF"/>
        </w:rPr>
        <w:t>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w:t>
      </w:r>
      <w:r>
        <w:rPr>
          <w:rFonts w:hint="eastAsia" w:ascii="Times New Roman" w:hAnsi="Times New Roman" w:eastAsia="方正仿宋_GBK" w:cs="Times New Roman"/>
          <w:b w:val="0"/>
          <w:bCs w:val="0"/>
          <w:kern w:val="0"/>
          <w:sz w:val="32"/>
          <w:szCs w:val="32"/>
          <w:shd w:val="clear" w:fill="FFFFFF"/>
          <w:lang w:eastAsia="zh-CN"/>
        </w:rPr>
        <w:t>；</w:t>
      </w:r>
      <w:r>
        <w:rPr>
          <w:rFonts w:hint="default" w:ascii="Times New Roman" w:hAnsi="Times New Roman" w:eastAsia="方正仿宋_GBK" w:cs="Times New Roman"/>
          <w:b w:val="0"/>
          <w:bCs w:val="0"/>
          <w:kern w:val="0"/>
          <w:sz w:val="32"/>
          <w:szCs w:val="32"/>
          <w:shd w:val="clear" w:fill="FFFFFF"/>
        </w:rPr>
        <w:t>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rPr>
          <w:rFonts w:hint="default" w:ascii="Times New Roman" w:hAnsi="Times New Roman" w:cs="Times New Roman"/>
          <w:b w:val="0"/>
          <w:bCs w:val="0"/>
          <w:sz w:val="18"/>
          <w:szCs w:val="18"/>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w:t>
      </w:r>
      <w:bookmarkEnd w:id="0"/>
      <w:r>
        <w:rPr>
          <w:rFonts w:hint="default" w:ascii="Times New Roman" w:hAnsi="Times New Roman" w:eastAsia="方正仿宋_GBK" w:cs="Times New Roman"/>
          <w:b w:val="0"/>
          <w:bCs w:val="0"/>
          <w:color w:val="000000"/>
          <w:sz w:val="32"/>
          <w:szCs w:val="32"/>
          <w:lang w:val="en-US" w:eastAsia="zh-CN"/>
        </w:rPr>
        <w:t>3</w:t>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C437C"/>
    <w:rsid w:val="6BBF53FD"/>
    <w:rsid w:val="6BEC2229"/>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next w:val="4"/>
    <w:qFormat/>
    <w:uiPriority w:val="0"/>
    <w:pPr>
      <w:tabs>
        <w:tab w:val="center" w:pos="4153"/>
        <w:tab w:val="right" w:pos="8306"/>
      </w:tabs>
      <w:snapToGrid w:val="0"/>
    </w:pPr>
    <w:rPr>
      <w:sz w:val="18"/>
      <w:szCs w:val="18"/>
    </w:rPr>
  </w:style>
  <w:style w:type="paragraph" w:customStyle="1" w:styleId="4">
    <w:name w:val="索引 51"/>
    <w:basedOn w:val="1"/>
    <w:next w:val="1"/>
    <w:qFormat/>
    <w:uiPriority w:val="0"/>
    <w:pPr>
      <w:ind w:left="168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1</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2025-10-10T09:57:21Z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