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720" w:firstLineChars="200"/>
        <w:jc w:val="center"/>
        <w:textAlignment w:val="auto"/>
        <w:rPr>
          <w:rFonts w:hint="default" w:ascii="Times New Roman" w:hAnsi="Times New Roman" w:eastAsia="方正小标宋_GBK" w:cs="Times New Roman"/>
          <w:b w:val="0"/>
          <w:bCs w:val="0"/>
          <w:sz w:val="36"/>
          <w:szCs w:val="36"/>
          <w:lang w:val="en-US" w:eastAsia="zh-CN"/>
        </w:rPr>
      </w:pPr>
      <w:bookmarkStart w:id="0" w:name="OLE_LINK1"/>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ind w:left="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重庆市长寿区基层医疗机构财务核算中心</w:t>
      </w:r>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ind w:left="0"/>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一、</w:t>
      </w:r>
      <w:r>
        <w:rPr>
          <w:rStyle w:val="11"/>
          <w:rFonts w:hint="eastAsia" w:ascii="Times New Roman" w:hAnsi="Times New Roman" w:eastAsia="黑体" w:cs="Times New Roman"/>
          <w:b w:val="0"/>
          <w:bCs w:val="0"/>
          <w:sz w:val="32"/>
          <w:szCs w:val="32"/>
          <w:shd w:val="clear" w:color="auto" w:fill="FFFFFF"/>
          <w:lang w:eastAsia="zh-CN"/>
        </w:rPr>
        <w:t>单位</w:t>
      </w:r>
      <w:bookmarkStart w:id="2" w:name="_GoBack"/>
      <w:bookmarkEnd w:id="2"/>
      <w:r>
        <w:rPr>
          <w:rStyle w:val="11"/>
          <w:rFonts w:hint="default" w:ascii="Times New Roman" w:hAnsi="Times New Roman" w:eastAsia="黑体" w:cs="Times New Roman"/>
          <w:b w:val="0"/>
          <w:bCs w:val="0"/>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left="0" w:firstLine="42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（一）职能职责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8" w:lineRule="atLeast"/>
        <w:ind w:left="0" w:right="0" w:firstLine="420"/>
        <w:jc w:val="both"/>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代理基层医疗机构资金结算、会计核算工作。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8" w:lineRule="atLeast"/>
        <w:ind w:left="0" w:right="0" w:firstLine="420"/>
        <w:jc w:val="both"/>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负责审核和监督财务票据的合法性及会计业务档案收集整理。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8" w:lineRule="atLeast"/>
        <w:ind w:left="0" w:right="0" w:firstLine="420"/>
        <w:jc w:val="both"/>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承担会计业务指导和相关培训工作。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8" w:lineRule="atLeast"/>
        <w:ind w:left="0" w:right="0" w:firstLine="420"/>
        <w:jc w:val="both"/>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加强核算单位价格政策的执行监管工作，监督核算单位及时足额上缴国家规定的税费和基金。</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pacing w:before="0" w:beforeAutospacing="0" w:after="0" w:afterAutospacing="0" w:line="368" w:lineRule="atLeast"/>
        <w:ind w:left="0" w:right="0" w:firstLine="420"/>
        <w:jc w:val="both"/>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rPr>
        <w:t>完成上级交办的其他工作。</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left="0" w:firstLine="420"/>
        <w:jc w:val="both"/>
        <w:rPr>
          <w:rFonts w:hint="default" w:ascii="Times New Roman" w:hAnsi="Times New Roman" w:eastAsia="楷体"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（二）机构设置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Style w:val="11"/>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重庆市长寿区基层医疗机构财务核算中心为区卫生健康委所属的正科级全额拨款事业单位，单位无内设科室。本单位无下级预算单位。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二、</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决算</w:t>
      </w:r>
      <w:r>
        <w:rPr>
          <w:rStyle w:val="11"/>
          <w:rFonts w:hint="default" w:ascii="Times New Roman" w:hAnsi="Times New Roman" w:eastAsia="黑体" w:cs="Times New Roman"/>
          <w:b w:val="0"/>
          <w:bCs w:val="0"/>
          <w:sz w:val="32"/>
          <w:szCs w:val="32"/>
          <w:shd w:val="clear" w:color="auto" w:fill="FFFFFF"/>
          <w:lang w:eastAsia="zh-CN"/>
        </w:rPr>
        <w:t>收支</w:t>
      </w:r>
      <w:r>
        <w:rPr>
          <w:rStyle w:val="11"/>
          <w:rFonts w:hint="default" w:ascii="Times New Roman" w:hAnsi="Times New Roman" w:eastAsia="黑体" w:cs="Times New Roman"/>
          <w:b w:val="0"/>
          <w:bCs w:val="0"/>
          <w:sz w:val="32"/>
          <w:szCs w:val="32"/>
          <w:shd w:val="clear" w:color="auto" w:fill="FFFFFF"/>
        </w:rPr>
        <w:t>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度收入总计212.1万元，支出总计</w:t>
      </w:r>
      <w:r>
        <w:rPr>
          <w:rFonts w:hint="default" w:ascii="Times New Roman" w:hAnsi="Times New Roman" w:eastAsia="方正仿宋_GBK" w:cs="Times New Roman"/>
          <w:b w:val="0"/>
          <w:bCs w:val="0"/>
          <w:sz w:val="32"/>
          <w:szCs w:val="32"/>
        </w:rPr>
        <w:t>212.1</w:t>
      </w:r>
      <w:r>
        <w:rPr>
          <w:rFonts w:hint="default" w:ascii="Times New Roman" w:hAnsi="Times New Roman" w:eastAsia="方正仿宋_GBK" w:cs="Times New Roman"/>
          <w:b w:val="0"/>
          <w:bCs w:val="0"/>
          <w:sz w:val="32"/>
          <w:szCs w:val="32"/>
          <w:shd w:val="clear" w:color="auto" w:fill="FFFFFF"/>
        </w:rPr>
        <w:t>万元。收、支与2023年度相比，增加212.1万元，增长100.0%，主要原因是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度收入合计212.1万元，与2023年度相比，增加212.1万元，增长100.0%，主要原因是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212.1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。此外，</w:t>
      </w:r>
      <w:bookmarkStart w:id="1" w:name="OLE_LINK2"/>
      <w:r>
        <w:rPr>
          <w:rFonts w:hint="default" w:ascii="Times New Roman" w:hAnsi="Times New Roman" w:eastAsia="方正仿宋_GBK" w:cs="Times New Roman"/>
          <w:b w:val="0"/>
          <w:bCs w:val="0"/>
          <w:sz w:val="32"/>
          <w:szCs w:val="32"/>
          <w:highlight w:val="none"/>
          <w:shd w:val="clear" w:color="auto" w:fill="FFFFFF"/>
        </w:rPr>
        <w:t>使用非财政拨款结余（含专用结余）</w:t>
      </w:r>
      <w:bookmarkEnd w:id="1"/>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212.1</w:t>
      </w:r>
      <w:r>
        <w:rPr>
          <w:rFonts w:hint="default" w:ascii="Times New Roman" w:hAnsi="Times New Roman" w:eastAsia="方正仿宋_GBK" w:cs="Times New Roman"/>
          <w:b w:val="0"/>
          <w:bCs w:val="0"/>
          <w:sz w:val="32"/>
          <w:szCs w:val="32"/>
          <w:shd w:val="clear" w:color="auto" w:fill="FFFFFF"/>
        </w:rPr>
        <w:t>万元，与2023年度相比，增加212.1万元，增长100.0%，主要原因是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202.1</w:t>
      </w:r>
      <w:r>
        <w:rPr>
          <w:rFonts w:hint="default" w:ascii="Times New Roman" w:hAnsi="Times New Roman" w:eastAsia="方正仿宋_GBK" w:cs="Times New Roman"/>
          <w:b w:val="0"/>
          <w:bCs w:val="0"/>
          <w:sz w:val="32"/>
          <w:szCs w:val="32"/>
          <w:shd w:val="clear" w:color="auto" w:fill="FFFFFF"/>
        </w:rPr>
        <w:t>万元，占95.3%；项目支出</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万元，占4.7%。此外，结余分配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default" w:ascii="Times New Roman" w:hAnsi="Times New Roman" w:eastAsia="方正仿宋_GBK" w:cs="Times New Roman"/>
          <w:b w:val="0"/>
          <w:bCs w:val="0"/>
          <w:sz w:val="32"/>
          <w:szCs w:val="32"/>
          <w:lang w:eastAsia="zh-CN"/>
        </w:rPr>
      </w:pPr>
      <w:r>
        <w:rPr>
          <w:rStyle w:val="11"/>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default"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度财政拨款收、支总计212.1万元。与202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年相比，财政拨款收、支总计各增加212.1万元，增长100.0%。主要原因是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202.1</w:t>
      </w:r>
      <w:r>
        <w:rPr>
          <w:rFonts w:hint="default" w:ascii="Times New Roman" w:hAnsi="Times New Roman" w:eastAsia="方正仿宋_GBK" w:cs="Times New Roman"/>
          <w:b w:val="0"/>
          <w:bCs w:val="0"/>
          <w:sz w:val="32"/>
          <w:szCs w:val="32"/>
          <w:shd w:val="clear" w:color="auto" w:fill="FFFFFF"/>
        </w:rPr>
        <w:t>万元，与2023年度相比，增加202.1万元，增长100.0%</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较年初预算数减少44.34万元，下降18.0%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基本工资、津贴补贴、医保、养老保险、住房公积金等</w:t>
      </w:r>
      <w:r>
        <w:rPr>
          <w:rFonts w:hint="default" w:ascii="Times New Roman" w:hAnsi="Times New Roman" w:eastAsia="仿宋_GB2312" w:cs="Times New Roman"/>
          <w:b w:val="0"/>
          <w:bCs w:val="0"/>
          <w:sz w:val="32"/>
          <w:szCs w:val="32"/>
          <w:lang w:val="en-US" w:eastAsia="zh-CN"/>
        </w:rPr>
        <w:t>在年中</w:t>
      </w:r>
      <w:r>
        <w:rPr>
          <w:rFonts w:hint="default" w:ascii="Times New Roman" w:hAnsi="Times New Roman" w:eastAsia="仿宋_GB2312" w:cs="Times New Roman"/>
          <w:b w:val="0"/>
          <w:bCs w:val="0"/>
          <w:sz w:val="32"/>
          <w:szCs w:val="32"/>
        </w:rPr>
        <w:t>增资调资</w:t>
      </w:r>
      <w:r>
        <w:rPr>
          <w:rFonts w:hint="default" w:ascii="Times New Roman" w:hAnsi="Times New Roman" w:eastAsia="仿宋_GB2312" w:cs="Times New Roman"/>
          <w:b w:val="0"/>
          <w:bCs w:val="0"/>
          <w:sz w:val="32"/>
          <w:szCs w:val="32"/>
          <w:lang w:eastAsia="zh-CN"/>
        </w:rPr>
        <w:t>中</w:t>
      </w:r>
      <w:r>
        <w:rPr>
          <w:rFonts w:hint="default" w:ascii="Times New Roman" w:hAnsi="Times New Roman" w:eastAsia="仿宋_GB2312" w:cs="Times New Roman"/>
          <w:b w:val="0"/>
          <w:bCs w:val="0"/>
          <w:sz w:val="32"/>
          <w:szCs w:val="32"/>
        </w:rPr>
        <w:t>财政收回</w:t>
      </w:r>
      <w:r>
        <w:rPr>
          <w:rFonts w:hint="default" w:ascii="Times New Roman" w:hAnsi="Times New Roman" w:eastAsia="仿宋_GB2312" w:cs="Times New Roman"/>
          <w:b w:val="0"/>
          <w:bCs w:val="0"/>
          <w:sz w:val="32"/>
          <w:szCs w:val="32"/>
          <w:lang w:eastAsia="zh-CN"/>
        </w:rPr>
        <w:t>了</w:t>
      </w:r>
      <w:r>
        <w:rPr>
          <w:rFonts w:hint="default" w:ascii="Times New Roman" w:hAnsi="Times New Roman" w:eastAsia="仿宋_GB2312" w:cs="Times New Roman"/>
          <w:b w:val="0"/>
          <w:bCs w:val="0"/>
          <w:sz w:val="32"/>
          <w:szCs w:val="32"/>
          <w:lang w:val="en-US" w:eastAsia="zh-CN"/>
        </w:rPr>
        <w:t>44.34万</w:t>
      </w:r>
      <w:r>
        <w:rPr>
          <w:rFonts w:hint="default" w:ascii="Times New Roman" w:hAnsi="Times New Roman" w:eastAsia="仿宋_GB2312" w:cs="Times New Roman"/>
          <w:b w:val="0"/>
          <w:bCs w:val="0"/>
          <w:sz w:val="32"/>
          <w:szCs w:val="32"/>
        </w:rPr>
        <w:t>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202.10</w:t>
      </w:r>
      <w:r>
        <w:rPr>
          <w:rFonts w:hint="default" w:ascii="Times New Roman" w:hAnsi="Times New Roman" w:eastAsia="方正仿宋_GBK" w:cs="Times New Roman"/>
          <w:b w:val="0"/>
          <w:bCs w:val="0"/>
          <w:sz w:val="32"/>
          <w:szCs w:val="32"/>
          <w:shd w:val="clear" w:color="auto" w:fill="FFFFFF"/>
        </w:rPr>
        <w:t>万元，与2023年度相比，增加202.1万元，增长100.0%。主要原因是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较年初预算数减少44.34万元，下降18.0%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基本工资、津贴补贴、医保、养老保险、住房公积金等</w:t>
      </w:r>
      <w:r>
        <w:rPr>
          <w:rFonts w:hint="default" w:ascii="Times New Roman" w:hAnsi="Times New Roman" w:eastAsia="方正仿宋_GBK" w:cs="Times New Roman"/>
          <w:b w:val="0"/>
          <w:bCs w:val="0"/>
          <w:color w:val="auto"/>
          <w:sz w:val="32"/>
          <w:szCs w:val="32"/>
          <w:shd w:val="clear" w:color="auto" w:fill="FFFFFF"/>
          <w:lang w:eastAsia="zh-CN"/>
        </w:rPr>
        <w:t>相比预算少支出，财政在</w:t>
      </w:r>
      <w:r>
        <w:rPr>
          <w:rFonts w:hint="default" w:ascii="Times New Roman" w:hAnsi="Times New Roman" w:eastAsia="方正仿宋_GBK" w:cs="Times New Roman"/>
          <w:b w:val="0"/>
          <w:bCs w:val="0"/>
          <w:sz w:val="32"/>
          <w:szCs w:val="32"/>
          <w:shd w:val="clear" w:color="auto" w:fill="FFFFFF"/>
          <w:lang w:eastAsia="zh-CN"/>
        </w:rPr>
        <w:t>增资调资中收回</w:t>
      </w:r>
      <w:r>
        <w:rPr>
          <w:rFonts w:hint="default" w:ascii="Times New Roman" w:hAnsi="Times New Roman" w:eastAsia="方正仿宋_GBK" w:cs="Times New Roman"/>
          <w:b w:val="0"/>
          <w:bCs w:val="0"/>
          <w:color w:val="auto"/>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Style w:val="11"/>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（1）教育支出</w:t>
      </w:r>
      <w:r>
        <w:rPr>
          <w:rFonts w:hint="default" w:ascii="Times New Roman" w:hAnsi="Times New Roman" w:eastAsia="方正仿宋_GBK" w:cs="Times New Roman"/>
          <w:b w:val="0"/>
          <w:bCs w:val="0"/>
          <w:sz w:val="32"/>
          <w:szCs w:val="32"/>
        </w:rPr>
        <w:t>1.38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0.7%</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eastAsia"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29.39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14.5%</w:t>
      </w:r>
      <w:r>
        <w:rPr>
          <w:rFonts w:hint="default" w:ascii="Times New Roman" w:hAnsi="Times New Roman" w:eastAsia="方正仿宋_GBK" w:cs="Times New Roman"/>
          <w:b w:val="0"/>
          <w:bCs w:val="0"/>
          <w:sz w:val="32"/>
          <w:szCs w:val="32"/>
          <w:shd w:val="clear" w:color="auto" w:fill="FFFFFF"/>
        </w:rPr>
        <w:t>，较年初预算数增加7.30万元，增长33.1%，</w:t>
      </w:r>
      <w:r>
        <w:rPr>
          <w:rFonts w:hint="default" w:ascii="Times New Roman" w:hAnsi="Times New Roman" w:eastAsia="方正仿宋_GBK" w:cs="Times New Roman"/>
          <w:b w:val="0"/>
          <w:bCs w:val="0"/>
          <w:color w:val="auto"/>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本年度事业人员超额绩效纳入了养老保险基数，并在年中进行了补缴。</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161.43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79.9%</w:t>
      </w:r>
      <w:r>
        <w:rPr>
          <w:rFonts w:hint="default" w:ascii="Times New Roman" w:hAnsi="Times New Roman" w:eastAsia="方正仿宋_GBK" w:cs="Times New Roman"/>
          <w:b w:val="0"/>
          <w:bCs w:val="0"/>
          <w:sz w:val="32"/>
          <w:szCs w:val="32"/>
          <w:shd w:val="clear" w:color="auto" w:fill="FFFFFF"/>
        </w:rPr>
        <w:t>，较年初预算数减少50.50万元，下降23.8%，主要原因是</w:t>
      </w:r>
      <w:r>
        <w:rPr>
          <w:rFonts w:hint="default" w:ascii="Times New Roman" w:hAnsi="Times New Roman" w:eastAsia="方正仿宋_GBK" w:cs="Times New Roman"/>
          <w:b w:val="0"/>
          <w:bCs w:val="0"/>
          <w:color w:val="auto"/>
          <w:sz w:val="32"/>
          <w:szCs w:val="32"/>
          <w:shd w:val="clear" w:color="auto" w:fill="FFFFFF"/>
        </w:rPr>
        <w:t>基本工资、津贴补贴等</w:t>
      </w:r>
      <w:r>
        <w:rPr>
          <w:rFonts w:hint="default" w:ascii="Times New Roman" w:hAnsi="Times New Roman" w:eastAsia="方正仿宋_GBK" w:cs="Times New Roman"/>
          <w:b w:val="0"/>
          <w:bCs w:val="0"/>
          <w:color w:val="auto"/>
          <w:sz w:val="32"/>
          <w:szCs w:val="32"/>
          <w:shd w:val="clear" w:color="auto" w:fill="FFFFFF"/>
          <w:lang w:eastAsia="zh-CN"/>
        </w:rPr>
        <w:t>相比预算少支出，</w:t>
      </w:r>
      <w:r>
        <w:rPr>
          <w:rFonts w:hint="default" w:ascii="Times New Roman" w:hAnsi="Times New Roman" w:eastAsia="方正仿宋_GBK" w:cs="Times New Roman"/>
          <w:b w:val="0"/>
          <w:bCs w:val="0"/>
          <w:sz w:val="32"/>
          <w:szCs w:val="32"/>
          <w:shd w:val="clear" w:color="auto" w:fill="FFFFFF"/>
          <w:lang w:eastAsia="zh-CN"/>
        </w:rPr>
        <w:t>财政在</w:t>
      </w:r>
      <w:r>
        <w:rPr>
          <w:rFonts w:hint="default" w:ascii="Times New Roman" w:hAnsi="Times New Roman" w:eastAsia="方正仿宋_GBK" w:cs="Times New Roman"/>
          <w:b w:val="0"/>
          <w:bCs w:val="0"/>
          <w:sz w:val="32"/>
          <w:szCs w:val="32"/>
          <w:shd w:val="clear" w:color="auto" w:fill="FFFFFF"/>
        </w:rPr>
        <w:t>增资调资中</w:t>
      </w:r>
      <w:r>
        <w:rPr>
          <w:rFonts w:hint="default" w:ascii="Times New Roman" w:hAnsi="Times New Roman" w:eastAsia="方正仿宋_GBK" w:cs="Times New Roman"/>
          <w:b w:val="0"/>
          <w:bCs w:val="0"/>
          <w:sz w:val="32"/>
          <w:szCs w:val="32"/>
          <w:shd w:val="clear" w:color="auto" w:fill="FFFFFF"/>
          <w:lang w:eastAsia="zh-CN"/>
        </w:rPr>
        <w:t>收回</w:t>
      </w:r>
      <w:r>
        <w:rPr>
          <w:rFonts w:hint="default" w:ascii="Times New Roman" w:hAnsi="Times New Roman" w:eastAsia="方正仿宋_GBK" w:cs="Times New Roman"/>
          <w:b w:val="0"/>
          <w:bCs w:val="0"/>
          <w:sz w:val="32"/>
          <w:szCs w:val="32"/>
          <w:shd w:val="clear" w:color="auto" w:fill="FFFFFF"/>
        </w:rPr>
        <w:t>。</w:t>
      </w:r>
    </w:p>
    <w:p>
      <w:pPr>
        <w:keepNext w:val="0"/>
        <w:keepLines w:val="0"/>
        <w:pageBreakBefore w:val="0"/>
        <w:widowControl w:val="0"/>
        <w:kinsoku/>
        <w:wordWrap/>
        <w:overflowPunct/>
        <w:topLinePunct w:val="0"/>
        <w:autoSpaceDN/>
        <w:bidi w:val="0"/>
        <w:adjustRightInd/>
        <w:spacing w:beforeAutospacing="0" w:afterAutospacing="0" w:line="594" w:lineRule="exact"/>
        <w:ind w:left="0"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4.9%</w:t>
      </w:r>
      <w:r>
        <w:rPr>
          <w:rFonts w:hint="default" w:ascii="Times New Roman" w:hAnsi="Times New Roman" w:eastAsia="方正仿宋_GBK" w:cs="Times New Roman"/>
          <w:b w:val="0"/>
          <w:bCs w:val="0"/>
          <w:sz w:val="32"/>
          <w:szCs w:val="32"/>
          <w:shd w:val="clear" w:color="auto" w:fill="FFFFFF"/>
        </w:rPr>
        <w:t>，较年初预算数减少1.14万元，下降10.3%，主要原因是</w:t>
      </w:r>
      <w:r>
        <w:rPr>
          <w:rFonts w:hint="default" w:ascii="Times New Roman" w:hAnsi="Times New Roman" w:eastAsia="方正仿宋_GBK" w:cs="Times New Roman"/>
          <w:b w:val="0"/>
          <w:bCs w:val="0"/>
          <w:sz w:val="32"/>
          <w:szCs w:val="32"/>
          <w:shd w:val="clear" w:color="auto" w:fill="FFFFFF"/>
          <w:lang w:eastAsia="zh-CN"/>
        </w:rPr>
        <w:t>住房公积金</w:t>
      </w:r>
      <w:r>
        <w:rPr>
          <w:rFonts w:hint="default" w:ascii="Times New Roman" w:hAnsi="Times New Roman" w:eastAsia="方正仿宋_GBK" w:cs="Times New Roman"/>
          <w:b w:val="0"/>
          <w:bCs w:val="0"/>
          <w:sz w:val="32"/>
          <w:szCs w:val="32"/>
          <w:shd w:val="clear" w:color="auto" w:fill="FFFFFF"/>
        </w:rPr>
        <w:t>相比预算少支出</w:t>
      </w:r>
      <w:r>
        <w:rPr>
          <w:rFonts w:hint="default" w:ascii="Times New Roman" w:hAnsi="Times New Roman" w:eastAsia="方正仿宋_GBK" w:cs="Times New Roman"/>
          <w:b w:val="0"/>
          <w:bCs w:val="0"/>
          <w:sz w:val="32"/>
          <w:szCs w:val="32"/>
          <w:shd w:val="clear" w:color="auto" w:fill="FFFFFF"/>
          <w:lang w:eastAsia="zh-CN"/>
        </w:rPr>
        <w:t>，财政在</w:t>
      </w:r>
      <w:r>
        <w:rPr>
          <w:rFonts w:hint="default" w:ascii="Times New Roman" w:hAnsi="Times New Roman" w:eastAsia="方正仿宋_GBK" w:cs="Times New Roman"/>
          <w:b w:val="0"/>
          <w:bCs w:val="0"/>
          <w:sz w:val="32"/>
          <w:szCs w:val="32"/>
          <w:shd w:val="clear" w:color="auto" w:fill="FFFFFF"/>
        </w:rPr>
        <w:t>增资调资中</w:t>
      </w:r>
      <w:r>
        <w:rPr>
          <w:rFonts w:hint="default" w:ascii="Times New Roman" w:hAnsi="Times New Roman" w:eastAsia="方正仿宋_GBK" w:cs="Times New Roman"/>
          <w:b w:val="0"/>
          <w:bCs w:val="0"/>
          <w:sz w:val="32"/>
          <w:szCs w:val="32"/>
          <w:shd w:val="clear" w:color="auto" w:fill="FFFFFF"/>
          <w:lang w:eastAsia="zh-CN"/>
        </w:rPr>
        <w:t>收回</w:t>
      </w:r>
      <w:r>
        <w:rPr>
          <w:rFonts w:hint="default" w:ascii="Times New Roman" w:hAnsi="Times New Roman" w:eastAsia="方正仿宋_GBK" w:cs="Times New Roman"/>
          <w:b w:val="0"/>
          <w:bCs w:val="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202.1</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183.17</w:t>
      </w:r>
      <w:r>
        <w:rPr>
          <w:rFonts w:hint="default" w:ascii="Times New Roman" w:hAnsi="Times New Roman" w:eastAsia="方正仿宋_GBK" w:cs="Times New Roman"/>
          <w:b w:val="0"/>
          <w:bCs w:val="0"/>
          <w:sz w:val="32"/>
          <w:szCs w:val="32"/>
          <w:shd w:val="clear" w:color="auto" w:fill="FFFFFF"/>
        </w:rPr>
        <w:t>万元，与2023年度相比，增加183.17万元，增长100.0%，主要原因是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18.92</w:t>
      </w:r>
      <w:r>
        <w:rPr>
          <w:rFonts w:hint="default" w:ascii="Times New Roman" w:hAnsi="Times New Roman" w:eastAsia="方正仿宋_GBK" w:cs="Times New Roman"/>
          <w:b w:val="0"/>
          <w:bCs w:val="0"/>
          <w:sz w:val="32"/>
          <w:szCs w:val="32"/>
          <w:shd w:val="clear" w:color="auto" w:fill="FFFFFF"/>
        </w:rPr>
        <w:t>万元，与2023年度相比，增加18.92万元，增长100.0%，主要原因是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办公费、资料印刷费、差旅费、培训费、劳务费、委托业务费和其他商品服务支出等。</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万元，与2023年度相比，增加10万元，增长100.0%，主要原因是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万元，与2023年度相比，增加10万元，增长100.0%，主要原因是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default" w:ascii="Times New Roman" w:hAnsi="Times New Roman" w:eastAsia="方正仿宋_GBK" w:cs="Times New Roman"/>
          <w:b w:val="0"/>
          <w:bCs w:val="0"/>
          <w:color w:val="auto"/>
          <w:sz w:val="32"/>
          <w:szCs w:val="32"/>
          <w:shd w:val="clear" w:color="auto" w:fill="auto"/>
        </w:rPr>
      </w:pPr>
      <w:r>
        <w:rPr>
          <w:rStyle w:val="11"/>
          <w:rFonts w:hint="default" w:ascii="Times New Roman" w:hAnsi="Times New Roman" w:eastAsia="方正仿宋_GBK" w:cs="Times New Roman"/>
          <w:b w:val="0"/>
          <w:bCs w:val="0"/>
          <w:color w:val="auto"/>
          <w:sz w:val="32"/>
          <w:szCs w:val="32"/>
          <w:shd w:val="clear" w:color="auto" w:fill="auto"/>
        </w:rPr>
        <w:t>本</w:t>
      </w:r>
      <w:r>
        <w:rPr>
          <w:rStyle w:val="11"/>
          <w:rFonts w:hint="eastAsia" w:ascii="Times New Roman" w:hAnsi="Times New Roman" w:eastAsia="方正仿宋_GBK" w:cs="Times New Roman"/>
          <w:b w:val="0"/>
          <w:bCs w:val="0"/>
          <w:color w:val="auto"/>
          <w:sz w:val="32"/>
          <w:szCs w:val="32"/>
          <w:shd w:val="clear" w:color="auto" w:fill="auto"/>
          <w:lang w:eastAsia="zh-CN"/>
        </w:rPr>
        <w:t>单位</w:t>
      </w:r>
      <w:r>
        <w:rPr>
          <w:rStyle w:val="11"/>
          <w:rFonts w:hint="default" w:ascii="Times New Roman" w:hAnsi="Times New Roman" w:eastAsia="方正仿宋_GBK" w:cs="Times New Roman"/>
          <w:b w:val="0"/>
          <w:bCs w:val="0"/>
          <w:color w:val="auto"/>
          <w:sz w:val="32"/>
          <w:szCs w:val="32"/>
          <w:shd w:val="clear" w:color="auto" w:fill="auto"/>
          <w:lang w:eastAsia="zh-CN"/>
        </w:rPr>
        <w:t>2024年</w:t>
      </w:r>
      <w:r>
        <w:rPr>
          <w:rStyle w:val="11"/>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三、</w:t>
      </w:r>
      <w:r>
        <w:rPr>
          <w:rStyle w:val="11"/>
          <w:rFonts w:hint="default" w:ascii="Times New Roman" w:hAnsi="Times New Roman" w:eastAsia="黑体" w:cs="Times New Roman"/>
          <w:b w:val="0"/>
          <w:bCs w:val="0"/>
          <w:sz w:val="32"/>
          <w:szCs w:val="32"/>
          <w:shd w:val="clear" w:color="auto" w:fill="FFFFFF"/>
          <w:lang w:eastAsia="zh-CN"/>
        </w:rPr>
        <w:t>财政拨款</w:t>
      </w:r>
      <w:r>
        <w:rPr>
          <w:rStyle w:val="11"/>
          <w:rFonts w:hint="default" w:ascii="Times New Roman" w:hAnsi="Times New Roman" w:eastAsia="黑体" w:cs="Times New Roman"/>
          <w:b w:val="0"/>
          <w:bCs w:val="0"/>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1.38</w:t>
      </w:r>
      <w:r>
        <w:rPr>
          <w:rFonts w:hint="default" w:ascii="Times New Roman" w:hAnsi="Times New Roman" w:eastAsia="方正仿宋_GBK" w:cs="Times New Roman"/>
          <w:b w:val="0"/>
          <w:bCs w:val="0"/>
          <w:sz w:val="32"/>
          <w:szCs w:val="32"/>
          <w:shd w:val="clear" w:color="auto" w:fill="FFFFFF"/>
        </w:rPr>
        <w:t>万元，与2023年度相比，增加1.38万元，增长100.0%，主要原因是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sz w:val="32"/>
          <w:szCs w:val="32"/>
        </w:rPr>
      </w:pP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r>
        <w:rPr>
          <w:rFonts w:hint="eastAsia" w:ascii="Times New Roman" w:hAnsi="Times New Roman" w:eastAsia="方正仿宋_GBK" w:cs="Times New Roman"/>
          <w:b w:val="0"/>
          <w:bCs w:val="0"/>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left="0"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0万</w:t>
      </w:r>
      <w:r>
        <w:rPr>
          <w:rFonts w:hint="default" w:ascii="Times New Roman" w:hAnsi="Times New Roman" w:eastAsia="方正仿宋_GBK" w:cs="Times New Roman"/>
          <w:b w:val="0"/>
          <w:bCs w:val="0"/>
          <w:sz w:val="32"/>
          <w:szCs w:val="32"/>
          <w:shd w:val="clear" w:color="auto" w:fill="FFFFFF"/>
        </w:rPr>
        <w:t>元</w:t>
      </w:r>
      <w:r>
        <w:rPr>
          <w:rFonts w:hint="default" w:ascii="Times New Roman" w:hAnsi="Times New Roman" w:eastAsia="方正仿宋_GBK" w:cs="Times New Roman"/>
          <w:b w:val="0"/>
          <w:bCs w:val="0"/>
          <w:sz w:val="32"/>
          <w:szCs w:val="32"/>
          <w:shd w:val="clear" w:color="auto" w:fill="FFFFFF"/>
          <w:lang w:eastAsia="zh-CN"/>
        </w:rPr>
        <w:t>。</w:t>
      </w:r>
    </w:p>
    <w:p>
      <w:pPr>
        <w:pStyle w:val="17"/>
        <w:keepNext w:val="0"/>
        <w:keepLines w:val="0"/>
        <w:pageBreakBefore w:val="0"/>
        <w:widowControl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根据预算绩效管理要求，我单位对1个项目开展了绩效自评，涉及财政拨款项目支出资金10万元。</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2"/>
          <w:sz w:val="32"/>
          <w:szCs w:val="32"/>
          <w:highlight w:val="none"/>
          <w:shd w:val="clear" w:color="auto" w:fill="FFFFFF"/>
        </w:rPr>
      </w:pPr>
      <w:r>
        <w:rPr>
          <w:rFonts w:hint="default" w:ascii="Times New Roman" w:hAnsi="Times New Roman" w:eastAsia="方正仿宋_GBK" w:cs="Times New Roman"/>
          <w:b w:val="0"/>
          <w:bCs w:val="0"/>
          <w:color w:val="000000"/>
          <w:kern w:val="0"/>
          <w:sz w:val="32"/>
          <w:szCs w:val="32"/>
          <w:highlight w:val="none"/>
          <w:lang w:val="en-US" w:eastAsia="zh-CN" w:bidi="ar"/>
        </w:rPr>
        <w:t>绩效自评结果详见附件2024年度绩效自评公开表（《部门整体绩效自评表》、《项目绩效自评结果汇总表》、《项目支出绩效自评表》）。</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1"/>
          <w:rFonts w:hint="default" w:ascii="Times New Roman" w:hAnsi="Times New Roman" w:eastAsia="方正仿宋_GBK" w:cs="Times New Roman"/>
          <w:b w:val="0"/>
          <w:bCs w:val="0"/>
          <w:sz w:val="32"/>
          <w:szCs w:val="32"/>
          <w:highlight w:val="none"/>
          <w:shd w:val="clear" w:color="auto" w:fill="FFFFFF"/>
        </w:rPr>
      </w:pPr>
      <w:r>
        <w:rPr>
          <w:rStyle w:val="11"/>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jc w:val="both"/>
        <w:textAlignment w:val="auto"/>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仿宋_GBK" w:cs="Times New Roman"/>
          <w:b w:val="0"/>
          <w:bCs w:val="0"/>
          <w:sz w:val="32"/>
          <w:szCs w:val="32"/>
          <w:shd w:val="clear" w:fill="FFFFFF"/>
        </w:rPr>
        <w:t xml:space="preserve"> </w:t>
      </w:r>
      <w:r>
        <w:rPr>
          <w:rStyle w:val="14"/>
          <w:rFonts w:hint="default" w:ascii="Times New Roman" w:hAnsi="Times New Roman" w:eastAsia="方正仿宋_GBK" w:cs="Times New Roman"/>
          <w:b w:val="0"/>
          <w:bCs w:val="0"/>
          <w:sz w:val="32"/>
          <w:szCs w:val="32"/>
          <w:shd w:val="clear" w:fill="FFFFFF"/>
          <w:lang w:val="en-US" w:eastAsia="zh-CN"/>
        </w:rPr>
        <w:t xml:space="preserve">  </w:t>
      </w:r>
      <w:r>
        <w:rPr>
          <w:rStyle w:val="11"/>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023—40669903</w:t>
      </w:r>
    </w:p>
    <w:bookmarkEnd w:id="0"/>
    <w:p>
      <w:pPr>
        <w:keepNext w:val="0"/>
        <w:keepLines w:val="0"/>
        <w:pageBreakBefore w:val="0"/>
        <w:widowControl w:val="0"/>
        <w:kinsoku/>
        <w:wordWrap/>
        <w:overflowPunct/>
        <w:topLinePunct w:val="0"/>
        <w:autoSpaceDN/>
        <w:bidi w:val="0"/>
        <w:adjustRightInd/>
        <w:spacing w:beforeAutospacing="0" w:afterAutospacing="0" w:line="594" w:lineRule="exact"/>
        <w:ind w:left="0"/>
        <w:jc w:val="both"/>
        <w:rPr>
          <w:rFonts w:hint="default" w:ascii="Times New Roman" w:hAnsi="Times New Roman" w:cs="Times New Roman"/>
          <w:b w:val="0"/>
          <w:bCs w:val="0"/>
          <w:sz w:val="18"/>
          <w:szCs w:val="18"/>
        </w:rPr>
      </w:pP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rPr>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273D9A"/>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96CB4"/>
    <w:rsid w:val="5CF66BF3"/>
    <w:rsid w:val="5D290C69"/>
    <w:rsid w:val="5DE87ECD"/>
    <w:rsid w:val="5F2D4A41"/>
    <w:rsid w:val="60C74F6C"/>
    <w:rsid w:val="61025A59"/>
    <w:rsid w:val="613D5BBC"/>
    <w:rsid w:val="61536C39"/>
    <w:rsid w:val="617B06E3"/>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AD06098"/>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next w:val="4"/>
    <w:qFormat/>
    <w:uiPriority w:val="0"/>
    <w:pPr>
      <w:tabs>
        <w:tab w:val="center" w:pos="4153"/>
        <w:tab w:val="right" w:pos="8306"/>
      </w:tabs>
      <w:snapToGrid w:val="0"/>
    </w:pPr>
    <w:rPr>
      <w:sz w:val="18"/>
      <w:szCs w:val="18"/>
    </w:rPr>
  </w:style>
  <w:style w:type="paragraph" w:customStyle="1" w:styleId="4">
    <w:name w:val="索引 51"/>
    <w:basedOn w:val="1"/>
    <w:next w:val="1"/>
    <w:qFormat/>
    <w:uiPriority w:val="0"/>
    <w:pPr>
      <w:ind w:left="168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16</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2025-10-10T08:29:46Z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