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0" w:beforeAutospacing="0" w:after="0" w:afterAutospacing="0" w:line="574" w:lineRule="exact"/>
        <w:ind w:firstLine="880" w:firstLineChars="20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重庆市长寿区农业发展服务中心</w:t>
      </w:r>
    </w:p>
    <w:p>
      <w:pPr>
        <w:pStyle w:val="5"/>
        <w:widowControl w:val="0"/>
        <w:spacing w:before="0" w:beforeAutospacing="0" w:after="0" w:afterAutospacing="0" w:line="574" w:lineRule="exact"/>
        <w:ind w:firstLine="880" w:firstLineChars="20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5"/>
        <w:widowControl w:val="0"/>
        <w:spacing w:before="0" w:beforeAutospacing="0" w:after="0" w:afterAutospacing="0" w:line="574" w:lineRule="exact"/>
        <w:ind w:firstLine="640" w:firstLineChars="200"/>
        <w:jc w:val="center"/>
        <w:rPr>
          <w:rFonts w:hint="default" w:ascii="方正小标宋_GBK" w:hAnsi="方正小标宋_GBK" w:eastAsia="方正小标宋_GBK" w:cs="方正小标宋_GBK"/>
          <w:sz w:val="32"/>
          <w:szCs w:val="32"/>
          <w:shd w:val="clear" w:color="auto" w:fill="FFFFFF"/>
        </w:rPr>
      </w:pPr>
    </w:p>
    <w:p>
      <w:pPr>
        <w:pStyle w:val="5"/>
        <w:widowControl w:val="0"/>
        <w:shd w:val="clear" w:color="auto" w:fill="FFFFFF"/>
        <w:spacing w:before="0" w:beforeAutospacing="0" w:after="0" w:afterAutospacing="0" w:line="574" w:lineRule="exact"/>
        <w:ind w:firstLine="640" w:firstLineChars="200"/>
        <w:rPr>
          <w:rFonts w:hint="default" w:ascii="方正黑体_GBK" w:hAnsi="黑体" w:eastAsia="方正黑体_GBK" w:cs="黑体"/>
          <w:sz w:val="32"/>
          <w:szCs w:val="32"/>
        </w:rPr>
      </w:pPr>
      <w:r>
        <w:rPr>
          <w:rStyle w:val="9"/>
          <w:rFonts w:ascii="方正黑体_GBK" w:hAnsi="黑体" w:eastAsia="方正黑体_GBK" w:cs="黑体"/>
          <w:b w:val="0"/>
          <w:sz w:val="32"/>
          <w:szCs w:val="32"/>
          <w:shd w:val="clear" w:color="auto" w:fill="FFFFFF"/>
        </w:rPr>
        <w:t>一、部门基本情况</w:t>
      </w:r>
    </w:p>
    <w:p>
      <w:pPr>
        <w:pStyle w:val="5"/>
        <w:widowControl w:val="0"/>
        <w:shd w:val="clear" w:color="auto" w:fill="FFFFFF"/>
        <w:spacing w:before="0" w:beforeAutospacing="0" w:after="0" w:afterAutospacing="0" w:line="574" w:lineRule="exact"/>
        <w:ind w:firstLine="640" w:firstLineChars="200"/>
        <w:rPr>
          <w:rStyle w:val="9"/>
          <w:rFonts w:hint="default" w:ascii="方正楷体_GBK" w:hAnsi="楷体" w:eastAsia="方正楷体_GBK" w:cs="楷体"/>
          <w:shd w:val="clear" w:color="auto" w:fill="FFFFFF"/>
        </w:rPr>
      </w:pPr>
      <w:r>
        <w:rPr>
          <w:rStyle w:val="9"/>
          <w:rFonts w:ascii="方正楷体_GBK" w:hAnsi="楷体" w:eastAsia="方正楷体_GBK" w:cs="楷体"/>
          <w:b w:val="0"/>
          <w:sz w:val="32"/>
          <w:szCs w:val="32"/>
          <w:shd w:val="clear" w:color="auto" w:fill="FFFFFF"/>
        </w:rPr>
        <w:t>（一）职能职责</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Fonts w:ascii="方正仿宋_GBK" w:hAnsi="仿宋_GB2312" w:eastAsia="方正仿宋_GBK" w:cs="仿宋_GB2312"/>
          <w:sz w:val="32"/>
          <w:szCs w:val="32"/>
        </w:rPr>
        <w:t>承担全区实施乡村振兴战略和乡村振兴综合试验示范的事务性工作；辅助实施乡村振兴战略的指导、培训、统计、监测与评估、督察督办等工作；协助开展乡村振兴战略调查研究、规划、计划、考核及实施管理；负责统筹乡村振兴战略项目、农村人居环境整治项目；协助开展乡村振兴战略项目和农村人居环境整治项目的计划安排、监督监测和绩效评价等工作；负责农田建设项目的勘测规划、论证分析、申报立项、评估评审和宣传培训等工作；参与农田建设项目的监督和管理；完成</w:t>
      </w:r>
      <w:r>
        <w:rPr>
          <w:rFonts w:ascii="方正仿宋_GBK" w:eastAsia="方正仿宋_GBK"/>
          <w:sz w:val="32"/>
          <w:szCs w:val="32"/>
        </w:rPr>
        <w:t>上级交办的其他工作。</w:t>
      </w:r>
    </w:p>
    <w:p>
      <w:pPr>
        <w:pStyle w:val="5"/>
        <w:widowControl w:val="0"/>
        <w:shd w:val="clear" w:color="auto" w:fill="FFFFFF"/>
        <w:spacing w:before="0" w:beforeAutospacing="0" w:after="0" w:afterAutospacing="0" w:line="574" w:lineRule="exact"/>
        <w:ind w:firstLine="640" w:firstLineChars="200"/>
        <w:rPr>
          <w:rFonts w:hint="default" w:ascii="方正楷体_GBK" w:hAnsi="楷体" w:eastAsia="方正楷体_GBK" w:cs="楷体"/>
          <w:sz w:val="32"/>
          <w:szCs w:val="32"/>
        </w:rPr>
      </w:pPr>
      <w:r>
        <w:rPr>
          <w:rStyle w:val="9"/>
          <w:rFonts w:ascii="方正楷体_GBK" w:hAnsi="楷体" w:eastAsia="方正楷体_GBK" w:cs="楷体"/>
          <w:b w:val="0"/>
          <w:sz w:val="32"/>
          <w:szCs w:val="32"/>
          <w:shd w:val="clear" w:color="auto" w:fill="FFFFFF"/>
        </w:rPr>
        <w:t>（二）机构设置</w:t>
      </w:r>
    </w:p>
    <w:p>
      <w:pPr>
        <w:pStyle w:val="5"/>
        <w:widowControl w:val="0"/>
        <w:shd w:val="clear" w:color="auto" w:fill="FFFFFF"/>
        <w:spacing w:before="0" w:beforeAutospacing="0" w:after="0" w:afterAutospacing="0" w:line="57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内设机构6个：办公室、金融财务科、发展规划科、乡村振兴科、农田建设科、人居环境科。</w:t>
      </w:r>
    </w:p>
    <w:p>
      <w:pPr>
        <w:pStyle w:val="5"/>
        <w:widowControl w:val="0"/>
        <w:shd w:val="clear" w:color="auto" w:fill="FFFFFF"/>
        <w:spacing w:before="0" w:beforeAutospacing="0" w:after="0" w:afterAutospacing="0" w:line="574" w:lineRule="exact"/>
        <w:ind w:firstLine="640" w:firstLineChars="200"/>
        <w:rPr>
          <w:rStyle w:val="9"/>
          <w:rFonts w:hint="default" w:ascii="方正黑体_GBK" w:hAnsi="黑体" w:eastAsia="方正黑体_GBK" w:cs="黑体"/>
          <w:b w:val="0"/>
          <w:sz w:val="32"/>
          <w:szCs w:val="32"/>
          <w:shd w:val="clear" w:color="auto" w:fill="FFFFFF"/>
        </w:rPr>
      </w:pPr>
      <w:r>
        <w:rPr>
          <w:rStyle w:val="9"/>
          <w:rFonts w:hint="default" w:ascii="方正黑体_GBK" w:hAnsi="黑体" w:eastAsia="方正黑体_GBK" w:cs="黑体"/>
          <w:b w:val="0"/>
          <w:sz w:val="32"/>
          <w:szCs w:val="32"/>
          <w:shd w:val="clear" w:color="auto" w:fill="FFFFFF"/>
        </w:rPr>
        <w:t>二、部门决算情况说明</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hint="default" w:ascii="方正楷体_GBK" w:hAnsi="方正楷体_GBK" w:eastAsia="方正楷体_GBK" w:cs="方正楷体_GBK"/>
          <w:kern w:val="2"/>
          <w:sz w:val="32"/>
          <w:szCs w:val="32"/>
          <w:shd w:val="clear" w:color="auto" w:fill="FFFFFF"/>
          <w:lang w:bidi="ar"/>
        </w:rPr>
        <w:t>（一）收入支出决算总体情况说明</w:t>
      </w:r>
    </w:p>
    <w:p>
      <w:pPr>
        <w:pStyle w:val="5"/>
        <w:widowControl w:val="0"/>
        <w:shd w:val="clear" w:color="auto" w:fill="FFFFFF"/>
        <w:spacing w:before="0" w:beforeAutospacing="0" w:after="0" w:afterAutospacing="0" w:line="574" w:lineRule="exact"/>
        <w:ind w:firstLine="640" w:firstLineChars="200"/>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1.总体情况。</w:t>
      </w:r>
      <w:r>
        <w:rPr>
          <w:rFonts w:hint="default" w:ascii="Times New Roman" w:hAnsi="Times New Roman" w:eastAsia="方正仿宋_GBK"/>
          <w:sz w:val="32"/>
          <w:szCs w:val="32"/>
          <w:shd w:val="clear" w:color="auto" w:fill="FFFFFF"/>
        </w:rPr>
        <w:t>2023年度收入总计10579.58万元，支出总计</w:t>
      </w:r>
      <w:r>
        <w:rPr>
          <w:rFonts w:hint="default" w:ascii="Times New Roman" w:hAnsi="Times New Roman" w:eastAsia="方正仿宋_GBK"/>
          <w:sz w:val="32"/>
          <w:szCs w:val="32"/>
        </w:rPr>
        <w:t>10579.58</w:t>
      </w:r>
      <w:r>
        <w:rPr>
          <w:rFonts w:hint="default" w:ascii="Times New Roman" w:hAnsi="Times New Roman" w:eastAsia="方正仿宋_GBK"/>
          <w:sz w:val="32"/>
          <w:szCs w:val="32"/>
          <w:shd w:val="clear" w:color="auto" w:fill="FFFFFF"/>
        </w:rPr>
        <w:t>万元。收支较上年决算数增加6689.83万元，增长171.99%，主要原因是2023年项目收入</w:t>
      </w:r>
      <w:r>
        <w:rPr>
          <w:rFonts w:hint="default" w:ascii="Times New Roman" w:hAnsi="Times New Roman" w:eastAsia="方正仿宋_GBK"/>
          <w:color w:val="000000"/>
          <w:sz w:val="32"/>
          <w:szCs w:val="32"/>
        </w:rPr>
        <w:t>支出增加。</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b w:val="0"/>
          <w:sz w:val="32"/>
          <w:szCs w:val="32"/>
          <w:shd w:val="clear" w:color="auto" w:fill="FFFFFF"/>
        </w:rPr>
        <w:t>2.收入情况。</w:t>
      </w:r>
      <w:r>
        <w:rPr>
          <w:rFonts w:hint="default" w:ascii="Times New Roman" w:hAnsi="Times New Roman" w:eastAsia="方正仿宋_GBK"/>
          <w:sz w:val="32"/>
          <w:szCs w:val="32"/>
          <w:shd w:val="clear" w:color="auto" w:fill="FFFFFF"/>
        </w:rPr>
        <w:t>2023年度收入合计10579.58万元，较上年决算数增加6689.83万元，增长171.99%，主要原因是</w:t>
      </w:r>
      <w:r>
        <w:rPr>
          <w:rFonts w:hint="default" w:ascii="Times New Roman" w:hAnsi="Times New Roman" w:eastAsia="方正仿宋_GBK"/>
          <w:color w:val="000000"/>
          <w:sz w:val="32"/>
          <w:szCs w:val="32"/>
        </w:rPr>
        <w:t>职工级别、职称发生了变化，正常性晋升工资及农业项目及项目资金的增加。</w:t>
      </w:r>
      <w:r>
        <w:rPr>
          <w:rFonts w:hint="default" w:ascii="Times New Roman" w:hAnsi="Times New Roman" w:eastAsia="方正仿宋_GBK"/>
          <w:sz w:val="32"/>
          <w:szCs w:val="32"/>
          <w:shd w:val="clear" w:color="auto" w:fill="FFFFFF"/>
        </w:rPr>
        <w:t>其中：财政拨款收入</w:t>
      </w:r>
      <w:r>
        <w:rPr>
          <w:rFonts w:hint="default" w:ascii="Times New Roman" w:hAnsi="Times New Roman" w:eastAsia="方正仿宋_GBK"/>
          <w:sz w:val="32"/>
          <w:szCs w:val="32"/>
        </w:rPr>
        <w:t>10579.58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100.00</w:t>
      </w:r>
      <w:r>
        <w:rPr>
          <w:rFonts w:hint="default" w:ascii="Times New Roman" w:hAnsi="Times New Roman" w:eastAsia="方正仿宋_GBK"/>
          <w:sz w:val="32"/>
          <w:szCs w:val="32"/>
          <w:shd w:val="clear" w:color="auto" w:fill="FFFFFF"/>
        </w:rPr>
        <w:t>%。</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b w:val="0"/>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10579.58</w:t>
      </w:r>
      <w:r>
        <w:rPr>
          <w:rFonts w:hint="default" w:ascii="Times New Roman" w:hAnsi="Times New Roman" w:eastAsia="方正仿宋_GBK"/>
          <w:sz w:val="32"/>
          <w:szCs w:val="32"/>
          <w:shd w:val="clear" w:color="auto" w:fill="FFFFFF"/>
        </w:rPr>
        <w:t>万元，较上年决算数增加6689.83万元，增长171.99%，主要原因是</w:t>
      </w:r>
      <w:r>
        <w:rPr>
          <w:rFonts w:hint="default" w:ascii="Times New Roman" w:hAnsi="Times New Roman" w:eastAsia="方正仿宋_GBK"/>
          <w:color w:val="000000"/>
          <w:sz w:val="32"/>
          <w:szCs w:val="32"/>
        </w:rPr>
        <w:t>职工级别、职称发生了变化，正常性晋升工资及农业项目及项目资金的增加。其中：基本</w:t>
      </w:r>
      <w:r>
        <w:rPr>
          <w:rFonts w:hint="default" w:ascii="Times New Roman" w:hAnsi="Times New Roman" w:eastAsia="方正仿宋_GBK"/>
          <w:sz w:val="32"/>
          <w:szCs w:val="32"/>
          <w:shd w:val="clear" w:color="auto" w:fill="FFFFFF"/>
        </w:rPr>
        <w:t>支出</w:t>
      </w:r>
      <w:r>
        <w:rPr>
          <w:rFonts w:hint="default" w:ascii="Times New Roman" w:hAnsi="Times New Roman" w:eastAsia="方正仿宋_GBK"/>
          <w:sz w:val="32"/>
          <w:szCs w:val="32"/>
        </w:rPr>
        <w:t>221.89</w:t>
      </w:r>
      <w:r>
        <w:rPr>
          <w:rFonts w:hint="default" w:ascii="Times New Roman" w:hAnsi="Times New Roman" w:eastAsia="方正仿宋_GBK"/>
          <w:sz w:val="32"/>
          <w:szCs w:val="32"/>
          <w:shd w:val="clear" w:color="auto" w:fill="FFFFFF"/>
        </w:rPr>
        <w:t>万元，占2.10%；项目支出</w:t>
      </w:r>
      <w:r>
        <w:rPr>
          <w:rFonts w:hint="default" w:ascii="Times New Roman" w:hAnsi="Times New Roman" w:eastAsia="方正仿宋_GBK"/>
          <w:sz w:val="32"/>
          <w:szCs w:val="32"/>
        </w:rPr>
        <w:t>10357.69</w:t>
      </w:r>
      <w:r>
        <w:rPr>
          <w:rFonts w:hint="default" w:ascii="Times New Roman" w:hAnsi="Times New Roman" w:eastAsia="方正仿宋_GBK"/>
          <w:sz w:val="32"/>
          <w:szCs w:val="32"/>
          <w:shd w:val="clear" w:color="auto" w:fill="FFFFFF"/>
        </w:rPr>
        <w:t>万元，占97.90%。</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b w:val="0"/>
          <w:sz w:val="32"/>
          <w:szCs w:val="32"/>
          <w:shd w:val="clear" w:color="auto" w:fill="FFFFFF"/>
        </w:rPr>
        <w:t>4.结转结余情况。</w:t>
      </w:r>
      <w:r>
        <w:rPr>
          <w:rFonts w:hint="default" w:ascii="Times New Roman" w:hAnsi="Times New Roman" w:eastAsia="方正仿宋_GBK"/>
          <w:sz w:val="32"/>
          <w:szCs w:val="32"/>
          <w:shd w:val="clear" w:color="auto" w:fill="FFFFFF"/>
        </w:rPr>
        <w:t>2023年度年末结转和结余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万元，较上年决算数无增减。</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hint="default" w:ascii="方正楷体_GBK" w:hAnsi="方正楷体_GBK" w:eastAsia="方正楷体_GBK" w:cs="方正楷体_GBK"/>
          <w:kern w:val="2"/>
          <w:sz w:val="32"/>
          <w:szCs w:val="32"/>
          <w:shd w:val="clear" w:color="auto" w:fill="FFFFFF"/>
          <w:lang w:bidi="ar"/>
        </w:rPr>
        <w:t>（二）财政拨款收入支出决算总体情况说明</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color w:val="000000"/>
          <w:sz w:val="32"/>
          <w:szCs w:val="32"/>
        </w:rPr>
      </w:pPr>
      <w:r>
        <w:rPr>
          <w:rFonts w:hint="default" w:ascii="Times New Roman" w:hAnsi="Times New Roman" w:eastAsia="方正仿宋_GBK"/>
          <w:sz w:val="32"/>
          <w:szCs w:val="32"/>
          <w:shd w:val="clear" w:color="auto" w:fill="FFFFFF"/>
        </w:rPr>
        <w:t>2023年度财政拨款收、支总计10579.58万元。与2022年相比，财政拨款收、支总计各增加6689.83万元，增长171.99%。主要原因是</w:t>
      </w:r>
      <w:r>
        <w:rPr>
          <w:rFonts w:hint="default" w:ascii="Times New Roman" w:hAnsi="Times New Roman" w:eastAsia="方正仿宋_GBK"/>
          <w:color w:val="000000"/>
          <w:sz w:val="32"/>
          <w:szCs w:val="32"/>
        </w:rPr>
        <w:t>职工级别、职称发生了变化，正常性晋升工资及农业项目及项目资金的增加。</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hint="default" w:ascii="方正楷体_GBK" w:hAnsi="方正楷体_GBK" w:eastAsia="方正楷体_GBK" w:cs="方正楷体_GBK"/>
          <w:kern w:val="2"/>
          <w:sz w:val="32"/>
          <w:szCs w:val="32"/>
          <w:shd w:val="clear" w:color="auto" w:fill="FFFFFF"/>
          <w:lang w:bidi="ar"/>
        </w:rPr>
        <w:t>（三）一般公共预算财政拨款收入支出决算情况说明</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10579.58</w:t>
      </w:r>
      <w:r>
        <w:rPr>
          <w:rFonts w:hint="default" w:ascii="Times New Roman" w:hAnsi="Times New Roman" w:eastAsia="方正仿宋_GBK"/>
          <w:sz w:val="32"/>
          <w:szCs w:val="32"/>
          <w:shd w:val="clear" w:color="auto" w:fill="FFFFFF"/>
        </w:rPr>
        <w:t>万元，较上年决算数增加6689.83万元，增长171.99%。主要原因是</w:t>
      </w:r>
      <w:r>
        <w:rPr>
          <w:rFonts w:hint="default" w:ascii="Times New Roman" w:hAnsi="Times New Roman" w:eastAsia="方正仿宋_GBK"/>
          <w:color w:val="000000"/>
          <w:sz w:val="32"/>
          <w:szCs w:val="32"/>
        </w:rPr>
        <w:t>职工级别、职称发生了变化，正常性晋升工资及农业项目及项目资金的增加。</w:t>
      </w:r>
      <w:r>
        <w:rPr>
          <w:rFonts w:hint="default" w:ascii="Times New Roman" w:hAnsi="Times New Roman" w:eastAsia="方正仿宋_GBK"/>
          <w:sz w:val="32"/>
          <w:szCs w:val="32"/>
          <w:shd w:val="clear" w:color="auto" w:fill="FFFFFF"/>
        </w:rPr>
        <w:t>较年初预算数增加8013.90万元，增长312.35%。主要原因是</w:t>
      </w:r>
      <w:r>
        <w:rPr>
          <w:rFonts w:hint="default" w:ascii="Times New Roman" w:hAnsi="Times New Roman" w:eastAsia="方正仿宋_GBK"/>
          <w:color w:val="000000"/>
          <w:sz w:val="32"/>
          <w:szCs w:val="32"/>
        </w:rPr>
        <w:t>职工级别、职称发生了变化，正常性晋升工资及农业项目及项目资金的增加</w:t>
      </w:r>
      <w:r>
        <w:rPr>
          <w:rFonts w:hint="default" w:ascii="Times New Roman" w:hAnsi="Times New Roman" w:eastAsia="方正仿宋_GBK"/>
          <w:sz w:val="32"/>
          <w:szCs w:val="32"/>
          <w:shd w:val="clear" w:color="auto" w:fill="FFFFFF"/>
        </w:rPr>
        <w:t>。</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rPr>
      </w:pPr>
      <w:r>
        <w:rPr>
          <w:rStyle w:val="9"/>
          <w:rFonts w:hint="default" w:ascii="Times New Roman" w:hAnsi="Times New Roman" w:eastAsia="方正仿宋_GBK"/>
          <w:b w:val="0"/>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10579.58</w:t>
      </w:r>
      <w:r>
        <w:rPr>
          <w:rFonts w:hint="default" w:ascii="Times New Roman" w:hAnsi="Times New Roman" w:eastAsia="方正仿宋_GBK"/>
          <w:sz w:val="32"/>
          <w:szCs w:val="32"/>
          <w:shd w:val="clear" w:color="auto" w:fill="FFFFFF"/>
        </w:rPr>
        <w:t>万元，较上年决算数增加6689.83万元，增长171.99%。主要原因是</w:t>
      </w:r>
      <w:r>
        <w:rPr>
          <w:rFonts w:hint="default" w:ascii="Times New Roman" w:hAnsi="Times New Roman" w:eastAsia="方正仿宋_GBK"/>
          <w:color w:val="000000"/>
          <w:sz w:val="32"/>
          <w:szCs w:val="32"/>
        </w:rPr>
        <w:t>职工级别、职称发生了变化，正常性晋升工资及农业项目及项目资金的增加。</w:t>
      </w:r>
      <w:r>
        <w:rPr>
          <w:rFonts w:hint="default" w:ascii="Times New Roman" w:hAnsi="Times New Roman" w:eastAsia="方正仿宋_GBK"/>
          <w:sz w:val="32"/>
          <w:szCs w:val="32"/>
          <w:shd w:val="clear" w:color="auto" w:fill="FFFFFF"/>
        </w:rPr>
        <w:t>较年初预算数增加8013.90万元，增长312.35%。主要原因是</w:t>
      </w:r>
      <w:r>
        <w:rPr>
          <w:rFonts w:hint="default" w:ascii="Times New Roman" w:hAnsi="Times New Roman" w:eastAsia="方正仿宋_GBK"/>
          <w:color w:val="000000"/>
          <w:sz w:val="32"/>
          <w:szCs w:val="32"/>
        </w:rPr>
        <w:t>职工级别、职称发生了变化，正常性晋升工资及农业项目及项目资金的增加。</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b w:val="0"/>
          <w:sz w:val="32"/>
          <w:szCs w:val="32"/>
          <w:shd w:val="clear" w:color="auto" w:fill="FFFFFF"/>
        </w:rPr>
        <w:t>3.结转结余情况。</w:t>
      </w:r>
      <w:r>
        <w:rPr>
          <w:rFonts w:hint="default" w:ascii="Times New Roman" w:hAnsi="Times New Roman" w:eastAsia="方正仿宋_GBK"/>
          <w:sz w:val="32"/>
          <w:szCs w:val="32"/>
          <w:shd w:val="clear" w:color="auto" w:fill="FFFFFF"/>
        </w:rPr>
        <w:t>2023年度年末一般公共预算财政拨款结转和结余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万元，较上年决算数无增减。</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b w:val="0"/>
          <w:sz w:val="32"/>
          <w:szCs w:val="32"/>
          <w:shd w:val="clear" w:color="auto" w:fill="FFFFFF"/>
        </w:rPr>
        <w:t>4.比较情况。</w:t>
      </w:r>
      <w:r>
        <w:rPr>
          <w:rFonts w:hint="default" w:ascii="Times New Roman" w:hAnsi="Times New Roman" w:eastAsia="方正仿宋_GBK"/>
          <w:sz w:val="32"/>
          <w:szCs w:val="32"/>
          <w:shd w:val="clear" w:color="auto" w:fill="FFFFFF"/>
        </w:rPr>
        <w:t>本部门2023年度一般公共预算财政拨款支出主要用于以下几个方面：</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（1）教育支出</w:t>
      </w:r>
      <w:r>
        <w:rPr>
          <w:rFonts w:hint="default" w:ascii="Times New Roman" w:hAnsi="Times New Roman" w:eastAsia="方正仿宋_GBK"/>
          <w:sz w:val="32"/>
          <w:szCs w:val="32"/>
        </w:rPr>
        <w:t>1.13</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0.01</w:t>
      </w:r>
      <w:r>
        <w:rPr>
          <w:rFonts w:hint="default" w:ascii="Times New Roman" w:hAnsi="Times New Roman" w:eastAsia="方正仿宋_GBK"/>
          <w:sz w:val="32"/>
          <w:szCs w:val="32"/>
          <w:shd w:val="clear" w:color="auto" w:fill="FFFFFF"/>
        </w:rPr>
        <w:t>%，较年初预算数无增减。</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（2）社会保障和就业支出</w:t>
      </w:r>
      <w:r>
        <w:rPr>
          <w:rFonts w:hint="default" w:ascii="Times New Roman" w:hAnsi="Times New Roman" w:eastAsia="方正仿宋_GBK"/>
          <w:sz w:val="32"/>
          <w:szCs w:val="32"/>
        </w:rPr>
        <w:t>19.30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0.18</w:t>
      </w:r>
      <w:r>
        <w:rPr>
          <w:rFonts w:hint="default" w:ascii="Times New Roman" w:hAnsi="Times New Roman" w:eastAsia="方正仿宋_GBK"/>
          <w:sz w:val="32"/>
          <w:szCs w:val="32"/>
          <w:shd w:val="clear" w:color="auto" w:fill="FFFFFF"/>
        </w:rPr>
        <w:t>%，较年初预算数增加1.16万元，增长6.39%，主要原因是</w:t>
      </w:r>
      <w:r>
        <w:rPr>
          <w:rFonts w:hint="default" w:ascii="Times New Roman" w:hAnsi="Times New Roman" w:eastAsia="方正仿宋_GBK"/>
          <w:color w:val="000000"/>
          <w:sz w:val="32"/>
          <w:szCs w:val="32"/>
        </w:rPr>
        <w:t>职工级别、职称发生了变化，正常性晋升等。</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（3）卫生健康支出</w:t>
      </w:r>
      <w:r>
        <w:rPr>
          <w:rFonts w:hint="default" w:ascii="Times New Roman" w:hAnsi="Times New Roman" w:eastAsia="方正仿宋_GBK"/>
          <w:sz w:val="32"/>
          <w:szCs w:val="32"/>
        </w:rPr>
        <w:t>9.64</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0.09</w:t>
      </w:r>
      <w:r>
        <w:rPr>
          <w:rFonts w:hint="default" w:ascii="Times New Roman" w:hAnsi="Times New Roman" w:eastAsia="方正仿宋_GBK"/>
          <w:sz w:val="32"/>
          <w:szCs w:val="32"/>
          <w:shd w:val="clear" w:color="auto" w:fill="FFFFFF"/>
        </w:rPr>
        <w:t>%，较年初预算数增加0.48万元，增长5.24%，主要原因是</w:t>
      </w:r>
      <w:r>
        <w:rPr>
          <w:rFonts w:hint="default" w:ascii="Times New Roman" w:hAnsi="Times New Roman" w:eastAsia="方正仿宋_GBK"/>
          <w:color w:val="000000"/>
          <w:sz w:val="32"/>
          <w:szCs w:val="32"/>
        </w:rPr>
        <w:t>职工级别、职称发生了变化，正常性晋升等。</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（4）农林水支出</w:t>
      </w:r>
      <w:r>
        <w:rPr>
          <w:rFonts w:hint="default" w:ascii="Times New Roman" w:hAnsi="Times New Roman" w:eastAsia="方正仿宋_GBK"/>
          <w:sz w:val="32"/>
          <w:szCs w:val="32"/>
        </w:rPr>
        <w:t>10539.85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99.62</w:t>
      </w:r>
      <w:r>
        <w:rPr>
          <w:rFonts w:hint="default" w:ascii="Times New Roman" w:hAnsi="Times New Roman" w:eastAsia="方正仿宋_GBK"/>
          <w:sz w:val="32"/>
          <w:szCs w:val="32"/>
          <w:shd w:val="clear" w:color="auto" w:fill="FFFFFF"/>
        </w:rPr>
        <w:t>%，较年初预算数增加8011.67万元，增长316.89%，主要原因是</w:t>
      </w:r>
      <w:r>
        <w:rPr>
          <w:rFonts w:hint="default" w:ascii="Times New Roman" w:hAnsi="Times New Roman" w:eastAsia="方正仿宋_GBK"/>
          <w:color w:val="000000"/>
          <w:sz w:val="32"/>
          <w:szCs w:val="32"/>
        </w:rPr>
        <w:t>职工级别、职称发生了变化，正常性晋升工资及农业项目及项目资金的增加。</w:t>
      </w:r>
    </w:p>
    <w:p>
      <w:pPr>
        <w:widowControl w:val="0"/>
        <w:spacing w:line="574"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（5）</w:t>
      </w:r>
      <w:r>
        <w:rPr>
          <w:rFonts w:hint="default" w:ascii="Times New Roman" w:hAnsi="Times New Roman" w:eastAsia="方正仿宋_GBK"/>
          <w:sz w:val="32"/>
          <w:szCs w:val="32"/>
        </w:rPr>
        <w:t>住房保障支出9.65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0.09</w:t>
      </w:r>
      <w:r>
        <w:rPr>
          <w:rFonts w:hint="default" w:ascii="Times New Roman" w:hAnsi="Times New Roman" w:eastAsia="方正仿宋_GBK"/>
          <w:sz w:val="32"/>
          <w:szCs w:val="32"/>
          <w:shd w:val="clear" w:color="auto" w:fill="FFFFFF"/>
        </w:rPr>
        <w:t>%，较年初预算数增加0.58万元，增长6.39%，主要原因是</w:t>
      </w:r>
      <w:r>
        <w:rPr>
          <w:rFonts w:hint="default" w:ascii="Times New Roman" w:hAnsi="Times New Roman" w:eastAsia="方正仿宋_GBK"/>
          <w:color w:val="000000"/>
          <w:sz w:val="32"/>
          <w:szCs w:val="32"/>
        </w:rPr>
        <w:t>职工级别、职称发生了变化，正常性晋升等。</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hint="default" w:ascii="方正楷体_GBK" w:hAnsi="方正楷体_GBK" w:eastAsia="方正楷体_GBK" w:cs="方正楷体_GBK"/>
          <w:kern w:val="2"/>
          <w:sz w:val="32"/>
          <w:szCs w:val="32"/>
          <w:shd w:val="clear" w:color="auto" w:fill="FFFFFF"/>
          <w:lang w:bidi="ar"/>
        </w:rPr>
        <w:t>（四）一般公共预算财政拨款基本支出决算情况说明</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2023年度一般公共财政拨款基本支出</w:t>
      </w:r>
      <w:r>
        <w:rPr>
          <w:rFonts w:hint="default" w:ascii="Times New Roman" w:hAnsi="Times New Roman" w:eastAsia="方正仿宋_GBK"/>
          <w:sz w:val="32"/>
          <w:szCs w:val="32"/>
        </w:rPr>
        <w:t>221.89</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191.63</w:t>
      </w:r>
      <w:r>
        <w:rPr>
          <w:rFonts w:hint="default" w:ascii="Times New Roman" w:hAnsi="Times New Roman" w:eastAsia="方正仿宋_GBK"/>
          <w:sz w:val="32"/>
          <w:szCs w:val="32"/>
          <w:shd w:val="clear" w:color="auto" w:fill="FFFFFF"/>
        </w:rPr>
        <w:t>万元，较上年决算数减少5.49万元，下降2.79%，主要原因是</w:t>
      </w:r>
      <w:r>
        <w:rPr>
          <w:rFonts w:hint="default" w:ascii="Times New Roman" w:hAnsi="Times New Roman" w:eastAsia="方正仿宋_GBK"/>
          <w:color w:val="000000"/>
          <w:sz w:val="32"/>
          <w:szCs w:val="32"/>
        </w:rPr>
        <w:t>增资调资、职工级别、职称发生变化、正常性晋升等。人员</w:t>
      </w:r>
      <w:r>
        <w:rPr>
          <w:rFonts w:hint="default" w:ascii="Times New Roman" w:hAnsi="Times New Roman" w:eastAsia="方正仿宋_GBK"/>
          <w:sz w:val="32"/>
          <w:szCs w:val="32"/>
          <w:shd w:val="clear" w:color="auto" w:fill="FFFFFF"/>
        </w:rPr>
        <w:t>经费用途主要包括基本工资、津贴补贴、奖金、机关事业单位基本养老保险缴费、职业年金缴费、职工基本医疗保险缴费、公务员医疗补助缴费、其他社会保障缴费、住房公积金、医疗费、其他工资福利支出、生活补助、医疗费补助、奖励金。公用经费</w:t>
      </w:r>
      <w:r>
        <w:rPr>
          <w:rFonts w:hint="default" w:ascii="Times New Roman" w:hAnsi="Times New Roman" w:eastAsia="方正仿宋_GBK"/>
          <w:sz w:val="32"/>
          <w:szCs w:val="32"/>
        </w:rPr>
        <w:t>30.26</w:t>
      </w:r>
      <w:r>
        <w:rPr>
          <w:rFonts w:hint="default" w:ascii="Times New Roman" w:hAnsi="Times New Roman" w:eastAsia="方正仿宋_GBK"/>
          <w:sz w:val="32"/>
          <w:szCs w:val="32"/>
          <w:shd w:val="clear" w:color="auto" w:fill="FFFFFF"/>
        </w:rPr>
        <w:t>万元，较上年决算数减少6.25万元，下降17.12%，主要原因是2023年节约日常开支。公用经费用途主要包括办公费、印刷费、邮电费、差旅费、培训费、公务接待费、劳务费、委托业务费、公务用车运行维护费、其他交通费用、其他商品和服务支出、办公设备购置等。</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hint="default" w:ascii="方正楷体_GBK" w:hAnsi="方正楷体_GBK" w:eastAsia="方正楷体_GBK" w:cs="方正楷体_GBK"/>
          <w:kern w:val="2"/>
          <w:sz w:val="32"/>
          <w:szCs w:val="32"/>
          <w:shd w:val="clear" w:color="auto" w:fill="FFFFFF"/>
          <w:lang w:bidi="ar"/>
        </w:rPr>
        <w:t>（五）政府性基金预算收支决算情况说明</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本部门2023年度无政府性基金预算财政拨款收支。</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hint="default" w:ascii="方正楷体_GBK" w:hAnsi="方正楷体_GBK" w:eastAsia="方正楷体_GBK" w:cs="方正楷体_GBK"/>
          <w:kern w:val="2"/>
          <w:sz w:val="32"/>
          <w:szCs w:val="32"/>
          <w:shd w:val="clear" w:color="auto" w:fill="FFFFFF"/>
          <w:lang w:bidi="ar"/>
        </w:rPr>
        <w:t>（六）国有资本经营预算财政拨款支出决算情况说明</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本部门2023年度无国有资本经营预算财政拨款支出。</w:t>
      </w:r>
    </w:p>
    <w:p>
      <w:pPr>
        <w:pStyle w:val="5"/>
        <w:widowControl w:val="0"/>
        <w:shd w:val="clear" w:color="auto" w:fill="FFFFFF"/>
        <w:spacing w:before="0" w:beforeAutospacing="0" w:after="0" w:afterAutospacing="0" w:line="574" w:lineRule="exact"/>
        <w:ind w:firstLine="640" w:firstLineChars="200"/>
        <w:rPr>
          <w:rStyle w:val="9"/>
          <w:rFonts w:hint="default" w:ascii="方正黑体_GBK" w:hAnsi="黑体" w:eastAsia="方正黑体_GBK" w:cs="黑体"/>
          <w:b w:val="0"/>
          <w:sz w:val="32"/>
          <w:szCs w:val="32"/>
          <w:shd w:val="clear" w:color="auto" w:fill="FFFFFF"/>
        </w:rPr>
      </w:pPr>
      <w:r>
        <w:rPr>
          <w:rStyle w:val="9"/>
          <w:rFonts w:hint="default" w:ascii="方正黑体_GBK" w:hAnsi="黑体" w:eastAsia="方正黑体_GBK" w:cs="黑体"/>
          <w:b w:val="0"/>
          <w:sz w:val="32"/>
          <w:szCs w:val="32"/>
          <w:shd w:val="clear" w:color="auto" w:fill="FFFFFF"/>
        </w:rPr>
        <w:t>三、“三公”经费情况说明</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hint="default" w:ascii="方正楷体_GBK" w:hAnsi="方正楷体_GBK" w:eastAsia="方正楷体_GBK" w:cs="方正楷体_GBK"/>
          <w:kern w:val="2"/>
          <w:sz w:val="32"/>
          <w:szCs w:val="32"/>
          <w:shd w:val="clear" w:color="auto" w:fill="FFFFFF"/>
          <w:lang w:bidi="ar"/>
        </w:rPr>
        <w:t>（一）“三公”经费支出总体情况说明</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color w:val="000000"/>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3.93</w:t>
      </w:r>
      <w:r>
        <w:rPr>
          <w:rFonts w:hint="default" w:ascii="Times New Roman" w:hAnsi="Times New Roman" w:eastAsia="方正仿宋_GBK"/>
          <w:sz w:val="32"/>
          <w:szCs w:val="32"/>
          <w:shd w:val="clear" w:color="auto" w:fill="FFFFFF"/>
        </w:rPr>
        <w:t>万元，较年初预算数减少2.07万元，下降34.50%，主要原因是</w:t>
      </w:r>
      <w:r>
        <w:rPr>
          <w:rFonts w:hint="default" w:ascii="Times New Roman" w:hAnsi="Times New Roman" w:eastAsia="方正仿宋_GBK"/>
          <w:color w:val="000000"/>
          <w:sz w:val="32"/>
          <w:szCs w:val="32"/>
        </w:rPr>
        <w:t>严格遵守公务接待开支范围和开支标准，严格控制陪餐人数及标准以及严格控制车辆维修、出车次数等。</w:t>
      </w:r>
      <w:r>
        <w:rPr>
          <w:rFonts w:hint="default" w:ascii="Times New Roman" w:hAnsi="Times New Roman" w:eastAsia="方正仿宋_GBK"/>
          <w:sz w:val="32"/>
          <w:szCs w:val="32"/>
          <w:shd w:val="clear" w:color="auto" w:fill="FFFFFF"/>
        </w:rPr>
        <w:t>较上年支出数增加1.15万元，增长41.37%，主要原</w:t>
      </w:r>
      <w:r>
        <w:rPr>
          <w:rFonts w:hint="default" w:ascii="Times New Roman" w:hAnsi="Times New Roman" w:eastAsia="方正仿宋_GBK"/>
          <w:color w:val="000000"/>
          <w:sz w:val="32"/>
          <w:szCs w:val="32"/>
        </w:rPr>
        <w:t>因是车辆使用年限较长，维修费增加。</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hint="default" w:ascii="方正楷体_GBK" w:hAnsi="方正楷体_GBK" w:eastAsia="方正楷体_GBK" w:cs="方正楷体_GBK"/>
          <w:kern w:val="2"/>
          <w:sz w:val="32"/>
          <w:szCs w:val="32"/>
          <w:shd w:val="clear" w:color="auto" w:fill="FFFFFF"/>
          <w:lang w:bidi="ar"/>
        </w:rPr>
        <w:t>（二）“三公”经费分项支出情况</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公务用车运行维护费</w:t>
      </w:r>
      <w:r>
        <w:rPr>
          <w:rFonts w:hint="default" w:ascii="Times New Roman" w:hAnsi="Times New Roman" w:eastAsia="方正仿宋_GBK"/>
          <w:sz w:val="32"/>
          <w:szCs w:val="32"/>
        </w:rPr>
        <w:t>2.32</w:t>
      </w:r>
      <w:r>
        <w:rPr>
          <w:rFonts w:hint="default" w:ascii="Times New Roman" w:hAnsi="Times New Roman" w:eastAsia="方正仿宋_GBK"/>
          <w:sz w:val="32"/>
          <w:szCs w:val="32"/>
          <w:shd w:val="clear" w:color="auto" w:fill="FFFFFF"/>
        </w:rPr>
        <w:t>万元，主要用于公务车电费、维修费、过路过桥费等费用。费用支出较年初预算数减少2.18万元，下降48.44%，</w:t>
      </w:r>
      <w:bookmarkStart w:id="0" w:name="_GoBack"/>
      <w:bookmarkEnd w:id="0"/>
      <w:r>
        <w:rPr>
          <w:rFonts w:hint="default" w:ascii="Times New Roman" w:hAnsi="Times New Roman" w:eastAsia="方正仿宋_GBK"/>
          <w:sz w:val="32"/>
          <w:szCs w:val="32"/>
          <w:shd w:val="clear" w:color="auto" w:fill="FFFFFF"/>
        </w:rPr>
        <w:t>主要原因是</w:t>
      </w:r>
      <w:r>
        <w:rPr>
          <w:rFonts w:hint="default" w:ascii="Times New Roman" w:hAnsi="Times New Roman" w:eastAsia="方正仿宋_GBK"/>
          <w:color w:val="000000"/>
          <w:sz w:val="32"/>
          <w:szCs w:val="32"/>
        </w:rPr>
        <w:t>严格控制车辆维修、出车次数等。</w:t>
      </w:r>
      <w:r>
        <w:rPr>
          <w:rFonts w:hint="default" w:ascii="Times New Roman" w:hAnsi="Times New Roman" w:eastAsia="方正仿宋_GBK"/>
          <w:sz w:val="32"/>
          <w:szCs w:val="32"/>
          <w:shd w:val="clear" w:color="auto" w:fill="FFFFFF"/>
        </w:rPr>
        <w:t>较上年支出数</w:t>
      </w:r>
      <w:r>
        <w:rPr>
          <w:rFonts w:hint="default" w:ascii="Times New Roman" w:hAnsi="Times New Roman" w:eastAsia="方正仿宋_GBK"/>
          <w:color w:val="000000"/>
          <w:sz w:val="32"/>
          <w:szCs w:val="32"/>
        </w:rPr>
        <w:t>无增减。</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color w:val="000000"/>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1.61</w:t>
      </w:r>
      <w:r>
        <w:rPr>
          <w:rFonts w:hint="default" w:ascii="Times New Roman" w:hAnsi="Times New Roman" w:eastAsia="方正仿宋_GBK"/>
          <w:sz w:val="32"/>
          <w:szCs w:val="32"/>
          <w:shd w:val="clear" w:color="auto" w:fill="FFFFFF"/>
        </w:rPr>
        <w:t>万元，主要用于接待市级、其他区县相关部门以及市外相关部门等。费用支出较年初预算数增加0.11万元，增长7.33%，主要原因是本年度接待人数增加。较上年支出数增加1.15万元，增长250.00%，主要原因是本年度接待人数增加。</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hint="default" w:ascii="方正楷体_GBK" w:hAnsi="方正楷体_GBK" w:eastAsia="方正楷体_GBK" w:cs="方正楷体_GBK"/>
          <w:kern w:val="2"/>
          <w:sz w:val="32"/>
          <w:szCs w:val="32"/>
          <w:shd w:val="clear" w:color="auto" w:fill="FFFFFF"/>
          <w:lang w:bidi="ar"/>
        </w:rPr>
        <w:t>（三）“三公”经费实物量情况</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2023年度本部门因公出国（境）共计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辆；国内公务接待</w:t>
      </w:r>
      <w:r>
        <w:rPr>
          <w:rFonts w:hint="default" w:ascii="Times New Roman" w:hAnsi="Times New Roman" w:eastAsia="方正仿宋_GBK"/>
          <w:sz w:val="32"/>
          <w:szCs w:val="32"/>
        </w:rPr>
        <w:t>14</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170</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人。2023年本部门人均接待费</w:t>
      </w:r>
      <w:r>
        <w:rPr>
          <w:rFonts w:hint="default" w:ascii="Times New Roman" w:hAnsi="Times New Roman" w:eastAsia="方正仿宋_GBK"/>
          <w:sz w:val="32"/>
          <w:szCs w:val="32"/>
        </w:rPr>
        <w:t>94.71</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2.32</w:t>
      </w:r>
      <w:r>
        <w:rPr>
          <w:rFonts w:hint="default" w:ascii="Times New Roman" w:hAnsi="Times New Roman" w:eastAsia="方正仿宋_GBK"/>
          <w:sz w:val="32"/>
          <w:szCs w:val="32"/>
          <w:shd w:val="clear" w:color="auto" w:fill="FFFFFF"/>
        </w:rPr>
        <w:t>万元。</w:t>
      </w:r>
    </w:p>
    <w:p>
      <w:pPr>
        <w:pStyle w:val="5"/>
        <w:widowControl w:val="0"/>
        <w:shd w:val="clear" w:color="auto" w:fill="FFFFFF"/>
        <w:spacing w:before="0" w:beforeAutospacing="0" w:after="0" w:afterAutospacing="0" w:line="574" w:lineRule="exact"/>
        <w:ind w:firstLine="640" w:firstLineChars="200"/>
        <w:rPr>
          <w:rStyle w:val="9"/>
          <w:rFonts w:hint="default" w:ascii="方正黑体_GBK" w:hAnsi="黑体" w:eastAsia="方正黑体_GBK" w:cs="黑体"/>
          <w:b w:val="0"/>
          <w:sz w:val="32"/>
          <w:szCs w:val="32"/>
          <w:shd w:val="clear" w:color="auto" w:fill="FFFFFF"/>
        </w:rPr>
      </w:pPr>
      <w:r>
        <w:rPr>
          <w:rStyle w:val="9"/>
          <w:rFonts w:hint="default" w:ascii="方正黑体_GBK" w:hAnsi="黑体" w:eastAsia="方正黑体_GBK" w:cs="黑体"/>
          <w:b w:val="0"/>
          <w:sz w:val="32"/>
          <w:szCs w:val="32"/>
          <w:shd w:val="clear" w:color="auto" w:fill="FFFFFF"/>
        </w:rPr>
        <w:t>四、其他需要说明的事项</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hint="default" w:ascii="方正楷体_GBK" w:hAnsi="方正楷体_GBK" w:eastAsia="方正楷体_GBK" w:cs="方正楷体_GBK"/>
          <w:kern w:val="2"/>
          <w:sz w:val="32"/>
          <w:szCs w:val="32"/>
          <w:shd w:val="clear" w:color="auto" w:fill="FFFFFF"/>
          <w:lang w:bidi="ar"/>
        </w:rPr>
        <w:t>（一）财政拨款会议费和培训费情况说明</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1.15</w:t>
      </w:r>
      <w:r>
        <w:rPr>
          <w:rFonts w:hint="default" w:ascii="Times New Roman" w:hAnsi="Times New Roman" w:eastAsia="方正仿宋_GBK"/>
          <w:sz w:val="32"/>
          <w:szCs w:val="32"/>
          <w:shd w:val="clear" w:color="auto" w:fill="FFFFFF"/>
        </w:rPr>
        <w:t>万元，较上年决算数增加1.15万元，增长100.00%，主要原因是本年度产生了会议费。本年度培训费支出</w:t>
      </w:r>
      <w:r>
        <w:rPr>
          <w:rFonts w:hint="default" w:ascii="Times New Roman" w:hAnsi="Times New Roman" w:eastAsia="方正仿宋_GBK"/>
          <w:sz w:val="32"/>
          <w:szCs w:val="32"/>
        </w:rPr>
        <w:t>2.48</w:t>
      </w:r>
      <w:r>
        <w:rPr>
          <w:rFonts w:hint="default" w:ascii="Times New Roman" w:hAnsi="Times New Roman" w:eastAsia="方正仿宋_GBK"/>
          <w:sz w:val="32"/>
          <w:szCs w:val="32"/>
          <w:shd w:val="clear" w:color="auto" w:fill="FFFFFF"/>
        </w:rPr>
        <w:t>万元，较上年决算数增加1.46万元，增长143.14%，主要原因是本年度培训人数增加。</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ascii="方正楷体_GBK" w:hAnsi="方正楷体_GBK" w:eastAsia="方正楷体_GBK" w:cs="方正楷体_GBK"/>
          <w:kern w:val="2"/>
          <w:sz w:val="32"/>
          <w:szCs w:val="32"/>
          <w:shd w:val="clear" w:color="auto" w:fill="FFFFFF"/>
          <w:lang w:bidi="ar"/>
        </w:rPr>
        <w:t>（二）机关运行经费情况说明</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按照部门决算列报口径，我单位不在机关运行经费统计范围之内。</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ascii="方正楷体_GBK" w:hAnsi="方正楷体_GBK" w:eastAsia="方正楷体_GBK" w:cs="方正楷体_GBK"/>
          <w:kern w:val="2"/>
          <w:sz w:val="32"/>
          <w:szCs w:val="32"/>
          <w:shd w:val="clear" w:color="auto" w:fill="FFFFFF"/>
          <w:lang w:bidi="ar"/>
        </w:rPr>
        <w:t>（三）国有资产占用情况说明</w:t>
      </w:r>
    </w:p>
    <w:p>
      <w:pPr>
        <w:pStyle w:val="5"/>
        <w:widowControl w:val="0"/>
        <w:snapToGrid w:val="0"/>
        <w:spacing w:before="0" w:beforeAutospacing="0" w:after="0" w:afterAutospacing="0" w:line="57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截至2023年12月31日，本部门共有车辆</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1</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lang w:bidi="ar"/>
        </w:rPr>
      </w:pPr>
      <w:r>
        <w:rPr>
          <w:rFonts w:hint="default" w:ascii="方正楷体_GBK" w:hAnsi="方正楷体_GBK" w:eastAsia="方正楷体_GBK" w:cs="方正楷体_GBK"/>
          <w:kern w:val="2"/>
          <w:sz w:val="32"/>
          <w:szCs w:val="32"/>
          <w:shd w:val="clear" w:color="auto" w:fill="FFFFFF"/>
          <w:lang w:bidi="ar"/>
        </w:rPr>
        <w:t>（四）政府采购支出情况说明</w:t>
      </w:r>
    </w:p>
    <w:p>
      <w:pPr>
        <w:pStyle w:val="10"/>
        <w:widowControl w:val="0"/>
        <w:autoSpaceDE w:val="0"/>
        <w:spacing w:line="574" w:lineRule="exact"/>
        <w:ind w:firstLine="640"/>
        <w:rPr>
          <w:rFonts w:ascii="方正仿宋_GBK" w:hAnsi="楷体" w:eastAsia="方正仿宋_GBK" w:cs="楷体"/>
          <w:sz w:val="32"/>
          <w:szCs w:val="32"/>
          <w:shd w:val="clear" w:color="auto" w:fill="FFFFFF"/>
          <w:lang w:bidi="ar"/>
        </w:rPr>
      </w:pPr>
      <w:r>
        <w:rPr>
          <w:rFonts w:ascii="Times New Roman" w:hAnsi="Times New Roman" w:eastAsia="方正仿宋_GBK"/>
          <w:sz w:val="32"/>
          <w:szCs w:val="32"/>
          <w:shd w:val="clear" w:color="auto" w:fill="FFFFFF"/>
        </w:rPr>
        <w:t>2023年度我单位未发生政</w:t>
      </w:r>
      <w:r>
        <w:rPr>
          <w:rFonts w:hint="eastAsia" w:ascii="方正仿宋_GBK" w:hAnsi="方正仿宋_GBK" w:eastAsia="方正仿宋_GBK" w:cs="方正仿宋_GBK"/>
          <w:sz w:val="32"/>
          <w:szCs w:val="32"/>
          <w:shd w:val="clear" w:color="auto" w:fill="FFFFFF"/>
        </w:rPr>
        <w:t>府采购事项，无相关经费支出。</w:t>
      </w:r>
    </w:p>
    <w:p>
      <w:pPr>
        <w:pStyle w:val="5"/>
        <w:widowControl w:val="0"/>
        <w:shd w:val="clear" w:color="auto" w:fill="FFFFFF"/>
        <w:spacing w:before="0" w:beforeAutospacing="0" w:after="0" w:afterAutospacing="0" w:line="574" w:lineRule="exact"/>
        <w:ind w:firstLine="640" w:firstLineChars="200"/>
        <w:rPr>
          <w:rStyle w:val="9"/>
          <w:rFonts w:hint="default" w:ascii="方正黑体_GBK" w:hAnsi="黑体" w:eastAsia="方正黑体_GBK" w:cs="黑体"/>
          <w:b w:val="0"/>
          <w:bCs/>
          <w:sz w:val="32"/>
          <w:szCs w:val="32"/>
          <w:shd w:val="clear" w:color="auto" w:fill="FFFFFF"/>
        </w:rPr>
      </w:pPr>
      <w:r>
        <w:rPr>
          <w:rStyle w:val="9"/>
          <w:rFonts w:ascii="方正黑体_GBK" w:hAnsi="黑体" w:eastAsia="方正黑体_GBK" w:cs="黑体"/>
          <w:b w:val="0"/>
          <w:bCs/>
          <w:sz w:val="32"/>
          <w:szCs w:val="32"/>
          <w:shd w:val="clear" w:color="auto" w:fill="FFFFFF"/>
        </w:rPr>
        <w:t>五、预算绩效管理情况说明</w:t>
      </w:r>
    </w:p>
    <w:p>
      <w:pPr>
        <w:pStyle w:val="15"/>
        <w:tabs>
          <w:tab w:val="center" w:pos="4153"/>
          <w:tab w:val="left" w:pos="7275"/>
        </w:tabs>
        <w:spacing w:line="594" w:lineRule="exact"/>
        <w:ind w:firstLine="640"/>
        <w:rPr>
          <w:rFonts w:eastAsia="方正楷体_GBK"/>
          <w:color w:val="000000"/>
          <w:sz w:val="32"/>
          <w:szCs w:val="32"/>
        </w:rPr>
      </w:pPr>
      <w:r>
        <w:rPr>
          <w:rFonts w:hint="eastAsia" w:eastAsia="方正楷体_GBK"/>
          <w:color w:val="000000"/>
          <w:sz w:val="32"/>
          <w:szCs w:val="32"/>
        </w:rPr>
        <w:t>（一）预算绩效管理工作开展情况</w:t>
      </w:r>
    </w:p>
    <w:p>
      <w:pPr>
        <w:pStyle w:val="15"/>
        <w:tabs>
          <w:tab w:val="center" w:pos="4153"/>
          <w:tab w:val="left" w:pos="7275"/>
        </w:tabs>
        <w:spacing w:line="594" w:lineRule="exact"/>
        <w:ind w:firstLine="640"/>
        <w:rPr>
          <w:rFonts w:eastAsia="方正仿宋_GBK" w:cs="宋体"/>
          <w:kern w:val="0"/>
          <w:sz w:val="32"/>
          <w:szCs w:val="32"/>
        </w:rPr>
      </w:pPr>
      <w:r>
        <w:rPr>
          <w:rFonts w:hint="eastAsia" w:eastAsia="方正仿宋_GBK" w:cs="宋体"/>
          <w:kern w:val="0"/>
          <w:sz w:val="32"/>
          <w:szCs w:val="32"/>
        </w:rPr>
        <w:t>根据预算绩效管理要求，我单位对11个项目开展了绩效自评，以填报绩效自评表形式开展自评11项，涉及资金10356.79万元。其中：一般性项目11个，涉及资金10356.79万元。</w:t>
      </w:r>
    </w:p>
    <w:p>
      <w:pPr>
        <w:tabs>
          <w:tab w:val="center" w:pos="4153"/>
          <w:tab w:val="left" w:pos="7275"/>
        </w:tabs>
        <w:spacing w:line="594" w:lineRule="exact"/>
        <w:ind w:left="640"/>
        <w:rPr>
          <w:rFonts w:hint="default" w:eastAsia="方正楷体_GBK"/>
          <w:color w:val="000000"/>
          <w:sz w:val="32"/>
          <w:szCs w:val="32"/>
        </w:rPr>
      </w:pPr>
      <w:r>
        <w:rPr>
          <w:rFonts w:eastAsia="方正楷体_GBK"/>
          <w:color w:val="000000"/>
          <w:sz w:val="32"/>
          <w:szCs w:val="32"/>
        </w:rPr>
        <w:t>（二）绩效自评结果</w:t>
      </w:r>
    </w:p>
    <w:p>
      <w:pPr>
        <w:pStyle w:val="15"/>
        <w:tabs>
          <w:tab w:val="center" w:pos="4153"/>
          <w:tab w:val="left" w:pos="7275"/>
        </w:tabs>
        <w:spacing w:line="594" w:lineRule="exact"/>
        <w:ind w:firstLine="640"/>
        <w:rPr>
          <w:rFonts w:eastAsia="方正仿宋_GBK" w:cs="宋体"/>
          <w:kern w:val="0"/>
          <w:sz w:val="32"/>
          <w:szCs w:val="32"/>
        </w:rPr>
      </w:pPr>
      <w:r>
        <w:rPr>
          <w:rFonts w:hint="eastAsia" w:eastAsia="方正仿宋_GBK" w:cs="宋体"/>
          <w:color w:val="000000"/>
          <w:kern w:val="0"/>
          <w:sz w:val="32"/>
          <w:szCs w:val="32"/>
        </w:rPr>
        <w:t>具体内容详见附件2023年度绩效自评公开表（《项目绩效自评结果汇总表》、《项目支出绩效目标自评表》）。</w:t>
      </w:r>
    </w:p>
    <w:p>
      <w:pPr>
        <w:pStyle w:val="5"/>
        <w:widowControl w:val="0"/>
        <w:spacing w:before="0" w:beforeAutospacing="0" w:after="0" w:afterAutospacing="0" w:line="574" w:lineRule="exact"/>
        <w:ind w:firstLine="640" w:firstLineChars="200"/>
        <w:jc w:val="both"/>
        <w:rPr>
          <w:rFonts w:hint="default" w:ascii="方正楷体_GBK" w:hAnsi="方正楷体_GBK" w:eastAsia="方正楷体_GBK" w:cs="方正楷体_GBK"/>
          <w:kern w:val="2"/>
          <w:sz w:val="32"/>
          <w:szCs w:val="32"/>
          <w:shd w:val="clear" w:color="auto" w:fill="FFFFFF"/>
        </w:rPr>
      </w:pPr>
      <w:r>
        <w:rPr>
          <w:rFonts w:ascii="方正楷体_GBK" w:hAnsi="方正楷体_GBK" w:eastAsia="方正楷体_GBK" w:cs="方正楷体_GBK"/>
          <w:kern w:val="2"/>
          <w:sz w:val="32"/>
          <w:szCs w:val="32"/>
          <w:shd w:val="clear" w:color="auto" w:fill="FFFFFF"/>
          <w:lang w:bidi="ar"/>
        </w:rPr>
        <w:t>（三）财政绩效评价情况</w:t>
      </w:r>
    </w:p>
    <w:p>
      <w:pPr>
        <w:pStyle w:val="5"/>
        <w:widowControl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仿宋_GBK" w:hAnsi="方正楷体_GBK" w:eastAsia="方正仿宋_GBK" w:cs="方正楷体_GBK"/>
          <w:b w:val="0"/>
          <w:sz w:val="32"/>
          <w:szCs w:val="32"/>
          <w:shd w:val="clear" w:color="auto" w:fill="FFFFFF"/>
        </w:rPr>
        <w:t>区财政局未委托第三方对我单位开展绩效评价。</w:t>
      </w:r>
    </w:p>
    <w:p>
      <w:pPr>
        <w:pStyle w:val="5"/>
        <w:widowControl w:val="0"/>
        <w:shd w:val="clear" w:color="auto" w:fill="FFFFFF"/>
        <w:spacing w:before="0" w:beforeAutospacing="0" w:after="0" w:afterAutospacing="0" w:line="574" w:lineRule="exact"/>
        <w:ind w:firstLine="640" w:firstLineChars="200"/>
        <w:rPr>
          <w:rStyle w:val="9"/>
          <w:rFonts w:hint="default" w:ascii="方正黑体_GBK" w:hAnsi="黑体" w:eastAsia="方正黑体_GBK" w:cs="黑体"/>
          <w:b w:val="0"/>
          <w:sz w:val="32"/>
          <w:szCs w:val="32"/>
          <w:shd w:val="clear" w:color="auto" w:fill="FFFFFF"/>
        </w:rPr>
      </w:pPr>
      <w:r>
        <w:rPr>
          <w:rStyle w:val="9"/>
          <w:rFonts w:ascii="方正黑体_GBK" w:hAnsi="黑体" w:eastAsia="方正黑体_GBK" w:cs="黑体"/>
          <w:b w:val="0"/>
          <w:sz w:val="32"/>
          <w:szCs w:val="32"/>
          <w:shd w:val="clear" w:color="auto" w:fill="FFFFFF"/>
        </w:rPr>
        <w:t>六、专业名词解释</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以下为常见专业名词解释目录，仅供参考，</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eastAsia="方正楷体_GBK"/>
          <w:b w:val="0"/>
          <w:bCs/>
          <w:sz w:val="32"/>
          <w:szCs w:val="32"/>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（二）事业收入</w:t>
      </w:r>
      <w:r>
        <w:rPr>
          <w:rStyle w:val="9"/>
          <w:rFonts w:ascii="方正楷体_GBK" w:eastAsia="方正楷体_GBK"/>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（三）经营收入</w:t>
      </w:r>
      <w:r>
        <w:rPr>
          <w:rStyle w:val="9"/>
          <w:rFonts w:ascii="方正楷体_GBK" w:eastAsia="方正楷体_GBK"/>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（四）其他收入</w:t>
      </w:r>
      <w:r>
        <w:rPr>
          <w:rStyle w:val="9"/>
          <w:rFonts w:ascii="方正楷体_GBK" w:eastAsia="方正楷体_GBK"/>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（五）使用非财政拨款结余</w:t>
      </w:r>
      <w:r>
        <w:rPr>
          <w:rStyle w:val="9"/>
          <w:rFonts w:ascii="方正楷体_GBK" w:eastAsia="方正楷体_GBK"/>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（六）年初结转和结余</w:t>
      </w:r>
      <w:r>
        <w:rPr>
          <w:rStyle w:val="9"/>
          <w:rFonts w:ascii="方正楷体_GBK" w:eastAsia="方正楷体_GBK"/>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（七）结余分配</w:t>
      </w:r>
      <w:r>
        <w:rPr>
          <w:rStyle w:val="9"/>
          <w:rFonts w:ascii="方正楷体_GBK" w:eastAsia="方正楷体_GBK"/>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（八）年末结转和结余</w:t>
      </w:r>
      <w:r>
        <w:rPr>
          <w:rStyle w:val="9"/>
          <w:rFonts w:ascii="方正楷体_GBK" w:eastAsia="方正楷体_GBK"/>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（九）基本支出</w:t>
      </w:r>
      <w:r>
        <w:rPr>
          <w:rStyle w:val="9"/>
          <w:rFonts w:ascii="方正楷体_GBK" w:eastAsia="方正楷体_GBK"/>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（十）项目支出</w:t>
      </w:r>
      <w:r>
        <w:rPr>
          <w:rStyle w:val="9"/>
          <w:rFonts w:ascii="方正楷体_GBK" w:eastAsia="方正楷体_GBK"/>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（十一）经营支出</w:t>
      </w:r>
      <w:r>
        <w:rPr>
          <w:rStyle w:val="9"/>
          <w:rFonts w:ascii="方正楷体_GBK" w:eastAsia="方正楷体_GBK"/>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（十二）“三公”经费</w:t>
      </w:r>
      <w:r>
        <w:rPr>
          <w:rStyle w:val="9"/>
          <w:rFonts w:ascii="方正楷体_GBK" w:eastAsia="方正楷体_GBK"/>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（十三）机关运行经费</w:t>
      </w:r>
      <w:r>
        <w:rPr>
          <w:rStyle w:val="9"/>
          <w:rFonts w:ascii="方正楷体_GBK" w:eastAsia="方正楷体_GBK"/>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（十四）工资福利支出（支出经济分类科目类级）</w:t>
      </w:r>
      <w:r>
        <w:rPr>
          <w:rStyle w:val="9"/>
          <w:rFonts w:ascii="方正楷体_GBK" w:eastAsia="方正楷体_GBK"/>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（十五）商品和服务支出（支出经济分类科目类级）</w:t>
      </w:r>
      <w:r>
        <w:rPr>
          <w:rStyle w:val="9"/>
          <w:rFonts w:ascii="方正楷体_GBK" w:eastAsia="方正楷体_GBK"/>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（十六）对个人和家庭的补助（支出经济分类科目类级）</w:t>
      </w:r>
      <w:r>
        <w:rPr>
          <w:rStyle w:val="9"/>
          <w:rFonts w:ascii="方正楷体_GBK" w:eastAsia="方正楷体_GBK"/>
        </w:rPr>
        <w:t>：</w:t>
      </w:r>
      <w:r>
        <w:rPr>
          <w:rFonts w:ascii="方正仿宋_GBK" w:hAnsi="方正仿宋_GBK" w:eastAsia="方正仿宋_GBK" w:cs="方正仿宋_GBK"/>
          <w:sz w:val="32"/>
          <w:szCs w:val="32"/>
          <w:shd w:val="clear" w:color="auto" w:fill="FFFFFF"/>
        </w:rPr>
        <w:t>反映用于对个人和家庭的补助支出。</w:t>
      </w:r>
    </w:p>
    <w:p>
      <w:pPr>
        <w:pStyle w:val="5"/>
        <w:widowControl w:val="0"/>
        <w:snapToGrid w:val="0"/>
        <w:spacing w:before="0" w:beforeAutospacing="0" w:after="0" w:afterAutospacing="0" w:line="574" w:lineRule="exact"/>
        <w:ind w:firstLine="640" w:firstLineChars="200"/>
        <w:jc w:val="both"/>
        <w:rPr>
          <w:rFonts w:hint="default" w:ascii="方正仿宋_GBK" w:hAnsi="方正仿宋_GBK" w:eastAsia="方正仿宋_GBK" w:cs="方正仿宋_GBK"/>
          <w:sz w:val="32"/>
          <w:szCs w:val="32"/>
        </w:rPr>
      </w:pPr>
      <w:r>
        <w:rPr>
          <w:rStyle w:val="9"/>
          <w:rFonts w:ascii="方正楷体_GBK" w:hAnsi="楷体" w:eastAsia="方正楷体_GBK" w:cs="楷体"/>
          <w:b w:val="0"/>
          <w:sz w:val="32"/>
          <w:szCs w:val="32"/>
          <w:shd w:val="clear" w:color="auto" w:fill="FFFFFF"/>
        </w:rPr>
        <w:t>（十七）其他资本性支出（支出经济分类科目类级）</w:t>
      </w:r>
      <w:r>
        <w:rPr>
          <w:rFonts w:ascii="方正楷体_GBK" w:hAnsi="楷体" w:eastAsia="方正楷体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widowControl w:val="0"/>
        <w:shd w:val="clear" w:color="auto" w:fill="FFFFFF"/>
        <w:spacing w:before="0" w:beforeAutospacing="0" w:after="0" w:afterAutospacing="0" w:line="574" w:lineRule="exact"/>
        <w:ind w:firstLine="640" w:firstLineChars="200"/>
        <w:rPr>
          <w:rStyle w:val="9"/>
          <w:rFonts w:hint="default" w:ascii="方正黑体_GBK" w:hAnsi="黑体" w:eastAsia="方正黑体_GBK" w:cs="黑体"/>
          <w:b w:val="0"/>
          <w:bCs/>
          <w:sz w:val="32"/>
          <w:szCs w:val="32"/>
          <w:shd w:val="clear" w:color="auto" w:fill="FFFFFF"/>
        </w:rPr>
      </w:pPr>
      <w:r>
        <w:rPr>
          <w:rStyle w:val="9"/>
          <w:rFonts w:ascii="方正黑体_GBK" w:hAnsi="黑体" w:eastAsia="方正黑体_GBK" w:cs="黑体"/>
          <w:b w:val="0"/>
          <w:bCs/>
          <w:sz w:val="32"/>
          <w:szCs w:val="32"/>
          <w:shd w:val="clear" w:color="auto" w:fill="FFFFFF"/>
        </w:rPr>
        <w:t>七、决算公开联系方式及信息反馈渠道</w:t>
      </w:r>
    </w:p>
    <w:p>
      <w:pPr>
        <w:pStyle w:val="5"/>
        <w:widowControl w:val="0"/>
        <w:shd w:val="clear" w:color="auto" w:fill="FFFFFF"/>
        <w:spacing w:before="0" w:beforeAutospacing="0" w:after="0" w:afterAutospacing="0" w:line="57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sz w:val="32"/>
          <w:szCs w:val="32"/>
          <w:shd w:val="clear" w:color="auto" w:fill="FFFFFF"/>
        </w:rPr>
        <w:t xml:space="preserve"> 023-40400789</w:t>
      </w:r>
      <w:r>
        <w:rPr>
          <w:rFonts w:ascii="Times New Roman" w:hAnsi="Times New Roman" w:eastAsia="方正仿宋_GBK"/>
          <w:sz w:val="32"/>
          <w:szCs w:val="32"/>
          <w:shd w:val="clear" w:color="auto" w:fill="FFFFFF"/>
        </w:rPr>
        <w:t>。</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501950"/>
      <w:docPartObj>
        <w:docPartGallery w:val="AutoText"/>
      </w:docPartObj>
    </w:sdtPr>
    <w:sdtContent>
      <w:p>
        <w:pPr>
          <w:pStyle w:val="2"/>
          <w:jc w:val="right"/>
          <w:rPr>
            <w:rFonts w:hint="default"/>
          </w:rPr>
        </w:pPr>
        <w:r>
          <w:rPr>
            <w:rFonts w:ascii="方正仿宋_GBK" w:eastAsia="方正仿宋_GBK"/>
            <w:sz w:val="28"/>
            <w:szCs w:val="28"/>
          </w:rPr>
          <w:fldChar w:fldCharType="begin"/>
        </w:r>
        <w:r>
          <w:rPr>
            <w:rFonts w:ascii="方正仿宋_GBK" w:eastAsia="方正仿宋_GBK"/>
            <w:sz w:val="28"/>
            <w:szCs w:val="28"/>
          </w:rPr>
          <w:instrText xml:space="preserve">PAGE   \* MERGEFORMAT</w:instrText>
        </w:r>
        <w:r>
          <w:rPr>
            <w:rFonts w:ascii="方正仿宋_GBK" w:eastAsia="方正仿宋_GBK"/>
            <w:sz w:val="28"/>
            <w:szCs w:val="28"/>
          </w:rPr>
          <w:fldChar w:fldCharType="separate"/>
        </w:r>
        <w:r>
          <w:rPr>
            <w:rFonts w:hint="default" w:ascii="方正仿宋_GBK" w:eastAsia="方正仿宋_GBK"/>
            <w:sz w:val="28"/>
            <w:szCs w:val="28"/>
            <w:lang w:val="zh-CN"/>
          </w:rPr>
          <w:t>-</w:t>
        </w:r>
        <w:r>
          <w:rPr>
            <w:rFonts w:hint="default" w:ascii="方正仿宋_GBK" w:eastAsia="方正仿宋_GBK"/>
            <w:sz w:val="28"/>
            <w:szCs w:val="28"/>
          </w:rPr>
          <w:t xml:space="preserve"> 5 -</w:t>
        </w:r>
        <w:r>
          <w:rPr>
            <w:rFonts w:ascii="方正仿宋_GBK" w:eastAsia="方正仿宋_GBK"/>
            <w:sz w:val="28"/>
            <w:szCs w:val="28"/>
          </w:rPr>
          <w:fldChar w:fldCharType="end"/>
        </w:r>
      </w:p>
    </w:sdtContent>
  </w:sdt>
  <w:p>
    <w:pPr>
      <w:pStyle w:val="2"/>
      <w:jc w:val="both"/>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279907"/>
      <w:docPartObj>
        <w:docPartGallery w:val="AutoText"/>
      </w:docPartObj>
    </w:sdtPr>
    <w:sdtContent>
      <w:p>
        <w:pPr>
          <w:pStyle w:val="2"/>
          <w:rPr>
            <w:rFonts w:hint="default"/>
          </w:rPr>
        </w:pPr>
        <w:r>
          <w:rPr>
            <w:rFonts w:ascii="方正仿宋_GBK" w:eastAsia="方正仿宋_GBK"/>
            <w:sz w:val="28"/>
            <w:szCs w:val="28"/>
          </w:rPr>
          <w:fldChar w:fldCharType="begin"/>
        </w:r>
        <w:r>
          <w:rPr>
            <w:rFonts w:ascii="方正仿宋_GBK" w:eastAsia="方正仿宋_GBK"/>
            <w:sz w:val="28"/>
            <w:szCs w:val="28"/>
          </w:rPr>
          <w:instrText xml:space="preserve">PAGE   \* MERGEFORMAT</w:instrText>
        </w:r>
        <w:r>
          <w:rPr>
            <w:rFonts w:ascii="方正仿宋_GBK" w:eastAsia="方正仿宋_GBK"/>
            <w:sz w:val="28"/>
            <w:szCs w:val="28"/>
          </w:rPr>
          <w:fldChar w:fldCharType="separate"/>
        </w:r>
        <w:r>
          <w:rPr>
            <w:rFonts w:hint="default" w:ascii="方正仿宋_GBK" w:eastAsia="方正仿宋_GBK"/>
            <w:sz w:val="28"/>
            <w:szCs w:val="28"/>
            <w:lang w:val="zh-CN"/>
          </w:rPr>
          <w:t>-</w:t>
        </w:r>
        <w:r>
          <w:rPr>
            <w:rFonts w:hint="default" w:ascii="方正仿宋_GBK" w:eastAsia="方正仿宋_GBK"/>
            <w:sz w:val="28"/>
            <w:szCs w:val="28"/>
          </w:rPr>
          <w:t xml:space="preserve"> 6 -</w:t>
        </w:r>
        <w:r>
          <w:rPr>
            <w:rFonts w:ascii="方正仿宋_GBK" w:eastAsia="方正仿宋_GBK"/>
            <w:sz w:val="28"/>
            <w:szCs w:val="28"/>
          </w:rPr>
          <w:fldChar w:fldCharType="end"/>
        </w:r>
      </w:p>
    </w:sdtContent>
  </w:sdt>
  <w:p>
    <w:pPr>
      <w:pStyle w:val="2"/>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20"/>
  <w:drawingGridVerticalSpacing w:val="163"/>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MmE3MmUyZDcwYmNmZTM0NzBjYWExZDQ3ZGFhMzAifQ=="/>
  </w:docVars>
  <w:rsids>
    <w:rsidRoot w:val="00B03CCD"/>
    <w:rsid w:val="00037399"/>
    <w:rsid w:val="000A78FA"/>
    <w:rsid w:val="000C4AEF"/>
    <w:rsid w:val="00102EFD"/>
    <w:rsid w:val="00137576"/>
    <w:rsid w:val="00204068"/>
    <w:rsid w:val="00262880"/>
    <w:rsid w:val="002A5519"/>
    <w:rsid w:val="00367EF9"/>
    <w:rsid w:val="00550ABE"/>
    <w:rsid w:val="005C1F31"/>
    <w:rsid w:val="005F0C71"/>
    <w:rsid w:val="00700CC8"/>
    <w:rsid w:val="00765B3C"/>
    <w:rsid w:val="007B419D"/>
    <w:rsid w:val="007C523E"/>
    <w:rsid w:val="00851009"/>
    <w:rsid w:val="008C0E30"/>
    <w:rsid w:val="009B67B8"/>
    <w:rsid w:val="00A26C7A"/>
    <w:rsid w:val="00A46035"/>
    <w:rsid w:val="00A958E9"/>
    <w:rsid w:val="00B03CCD"/>
    <w:rsid w:val="00B3149A"/>
    <w:rsid w:val="00B60C51"/>
    <w:rsid w:val="00BC26DB"/>
    <w:rsid w:val="00BD38B3"/>
    <w:rsid w:val="00BF6CDC"/>
    <w:rsid w:val="00C030F4"/>
    <w:rsid w:val="00C6691C"/>
    <w:rsid w:val="00D93BD7"/>
    <w:rsid w:val="00E75685"/>
    <w:rsid w:val="00EE1843"/>
    <w:rsid w:val="00F73F90"/>
    <w:rsid w:val="00FE0754"/>
    <w:rsid w:val="01474EBF"/>
    <w:rsid w:val="01F3521E"/>
    <w:rsid w:val="03104CE8"/>
    <w:rsid w:val="03B87EA0"/>
    <w:rsid w:val="03E3214F"/>
    <w:rsid w:val="044C50BA"/>
    <w:rsid w:val="05BC6D49"/>
    <w:rsid w:val="06194FF1"/>
    <w:rsid w:val="06A2550B"/>
    <w:rsid w:val="06F80EE2"/>
    <w:rsid w:val="07001CCA"/>
    <w:rsid w:val="075678DB"/>
    <w:rsid w:val="077E1A2E"/>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B15FB0"/>
    <w:rsid w:val="10EC0126"/>
    <w:rsid w:val="10F70B9A"/>
    <w:rsid w:val="111445C7"/>
    <w:rsid w:val="114278C6"/>
    <w:rsid w:val="1158083A"/>
    <w:rsid w:val="11625306"/>
    <w:rsid w:val="11643A4B"/>
    <w:rsid w:val="11A74721"/>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39273B"/>
    <w:rsid w:val="194A1770"/>
    <w:rsid w:val="19B906A4"/>
    <w:rsid w:val="1AA03612"/>
    <w:rsid w:val="1B0555A8"/>
    <w:rsid w:val="1B6F15B6"/>
    <w:rsid w:val="1B79458F"/>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E13D1F"/>
    <w:rsid w:val="20642787"/>
    <w:rsid w:val="21556F04"/>
    <w:rsid w:val="22403BD3"/>
    <w:rsid w:val="23C95987"/>
    <w:rsid w:val="24B92327"/>
    <w:rsid w:val="24C14514"/>
    <w:rsid w:val="24EC2700"/>
    <w:rsid w:val="2533755C"/>
    <w:rsid w:val="25791755"/>
    <w:rsid w:val="25BF1543"/>
    <w:rsid w:val="26396DF4"/>
    <w:rsid w:val="27167136"/>
    <w:rsid w:val="27B23302"/>
    <w:rsid w:val="29310A5F"/>
    <w:rsid w:val="298C1931"/>
    <w:rsid w:val="29C37A35"/>
    <w:rsid w:val="2A076083"/>
    <w:rsid w:val="2A73162E"/>
    <w:rsid w:val="2B167953"/>
    <w:rsid w:val="2B200583"/>
    <w:rsid w:val="2B8209DE"/>
    <w:rsid w:val="2C005B60"/>
    <w:rsid w:val="2C120CF4"/>
    <w:rsid w:val="2C636760"/>
    <w:rsid w:val="2C6762A3"/>
    <w:rsid w:val="2F6F7D2B"/>
    <w:rsid w:val="2FCA4B37"/>
    <w:rsid w:val="2FE029D7"/>
    <w:rsid w:val="2FF06E00"/>
    <w:rsid w:val="30586FEC"/>
    <w:rsid w:val="315F0B22"/>
    <w:rsid w:val="31D84415"/>
    <w:rsid w:val="32285F6F"/>
    <w:rsid w:val="32770556"/>
    <w:rsid w:val="329C0913"/>
    <w:rsid w:val="32AA0460"/>
    <w:rsid w:val="3337290D"/>
    <w:rsid w:val="33E31118"/>
    <w:rsid w:val="33EF7674"/>
    <w:rsid w:val="342D7BC6"/>
    <w:rsid w:val="34C226AB"/>
    <w:rsid w:val="352930DB"/>
    <w:rsid w:val="35573069"/>
    <w:rsid w:val="355F6038"/>
    <w:rsid w:val="358C217E"/>
    <w:rsid w:val="35F93D60"/>
    <w:rsid w:val="36C9128A"/>
    <w:rsid w:val="36EC64C1"/>
    <w:rsid w:val="37841E99"/>
    <w:rsid w:val="37B07132"/>
    <w:rsid w:val="37BF1123"/>
    <w:rsid w:val="383C3F15"/>
    <w:rsid w:val="38BE4696"/>
    <w:rsid w:val="3939115E"/>
    <w:rsid w:val="39B82A39"/>
    <w:rsid w:val="39C42CA8"/>
    <w:rsid w:val="39DC4FD6"/>
    <w:rsid w:val="39F03D7A"/>
    <w:rsid w:val="39F33306"/>
    <w:rsid w:val="3A2C1C67"/>
    <w:rsid w:val="3A583AB6"/>
    <w:rsid w:val="3ABB47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2FE6FA4"/>
    <w:rsid w:val="43307B09"/>
    <w:rsid w:val="433F009B"/>
    <w:rsid w:val="439A3EB9"/>
    <w:rsid w:val="43BB152F"/>
    <w:rsid w:val="44C24001"/>
    <w:rsid w:val="44C37687"/>
    <w:rsid w:val="44E36EBE"/>
    <w:rsid w:val="454B3FF6"/>
    <w:rsid w:val="45CB699A"/>
    <w:rsid w:val="465B470D"/>
    <w:rsid w:val="469D6AD4"/>
    <w:rsid w:val="471E6C84"/>
    <w:rsid w:val="4748792B"/>
    <w:rsid w:val="475D719D"/>
    <w:rsid w:val="47674801"/>
    <w:rsid w:val="47A04ACD"/>
    <w:rsid w:val="47A345BE"/>
    <w:rsid w:val="48225EF7"/>
    <w:rsid w:val="488F422B"/>
    <w:rsid w:val="48E36915"/>
    <w:rsid w:val="48EB6572"/>
    <w:rsid w:val="495C4A24"/>
    <w:rsid w:val="497135DF"/>
    <w:rsid w:val="4A263DF2"/>
    <w:rsid w:val="4A6F6675"/>
    <w:rsid w:val="4ACB2881"/>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370328"/>
    <w:rsid w:val="554E5773"/>
    <w:rsid w:val="55562C6F"/>
    <w:rsid w:val="555A3CBC"/>
    <w:rsid w:val="5582012B"/>
    <w:rsid w:val="558E4E05"/>
    <w:rsid w:val="55BE2E85"/>
    <w:rsid w:val="56530F5D"/>
    <w:rsid w:val="567700D3"/>
    <w:rsid w:val="56FF7E9E"/>
    <w:rsid w:val="578867FC"/>
    <w:rsid w:val="5842572D"/>
    <w:rsid w:val="5A3B59D6"/>
    <w:rsid w:val="5A4924DD"/>
    <w:rsid w:val="5ABA3CA0"/>
    <w:rsid w:val="5AD134D8"/>
    <w:rsid w:val="5C263CE4"/>
    <w:rsid w:val="5C5D2777"/>
    <w:rsid w:val="5CF66BF3"/>
    <w:rsid w:val="5D290C69"/>
    <w:rsid w:val="5F2D4A41"/>
    <w:rsid w:val="60C74F6C"/>
    <w:rsid w:val="61025A59"/>
    <w:rsid w:val="613D5BBC"/>
    <w:rsid w:val="61536C39"/>
    <w:rsid w:val="62944DD7"/>
    <w:rsid w:val="6319381F"/>
    <w:rsid w:val="634C5CEC"/>
    <w:rsid w:val="63C25DC5"/>
    <w:rsid w:val="63C62057"/>
    <w:rsid w:val="64571EF5"/>
    <w:rsid w:val="64BE25DF"/>
    <w:rsid w:val="64FB113D"/>
    <w:rsid w:val="656152C6"/>
    <w:rsid w:val="6587477F"/>
    <w:rsid w:val="658C3A08"/>
    <w:rsid w:val="65C031CA"/>
    <w:rsid w:val="65CE6852"/>
    <w:rsid w:val="66267C04"/>
    <w:rsid w:val="6635067F"/>
    <w:rsid w:val="663F505A"/>
    <w:rsid w:val="6699140D"/>
    <w:rsid w:val="66EE5541"/>
    <w:rsid w:val="67924660"/>
    <w:rsid w:val="68407834"/>
    <w:rsid w:val="6883293E"/>
    <w:rsid w:val="688412AD"/>
    <w:rsid w:val="68EB1B71"/>
    <w:rsid w:val="6A733103"/>
    <w:rsid w:val="6A9A1577"/>
    <w:rsid w:val="6AAD2300"/>
    <w:rsid w:val="6B474EF5"/>
    <w:rsid w:val="6C0A5AC5"/>
    <w:rsid w:val="6C560CAE"/>
    <w:rsid w:val="6C576495"/>
    <w:rsid w:val="6D903FF5"/>
    <w:rsid w:val="6DA955B8"/>
    <w:rsid w:val="6DE346AB"/>
    <w:rsid w:val="6DE5391A"/>
    <w:rsid w:val="6EA22E53"/>
    <w:rsid w:val="6EFD1324"/>
    <w:rsid w:val="6F5A53AC"/>
    <w:rsid w:val="6FAC003D"/>
    <w:rsid w:val="6FB05B5D"/>
    <w:rsid w:val="6FE55E12"/>
    <w:rsid w:val="6FFB2E76"/>
    <w:rsid w:val="708F6F7F"/>
    <w:rsid w:val="70D94BD3"/>
    <w:rsid w:val="71C34D91"/>
    <w:rsid w:val="72DB435C"/>
    <w:rsid w:val="72E2613A"/>
    <w:rsid w:val="72F771F4"/>
    <w:rsid w:val="73934AD2"/>
    <w:rsid w:val="750837F0"/>
    <w:rsid w:val="753331DA"/>
    <w:rsid w:val="754758CF"/>
    <w:rsid w:val="764F62AB"/>
    <w:rsid w:val="76522B87"/>
    <w:rsid w:val="765C45EC"/>
    <w:rsid w:val="768A7619"/>
    <w:rsid w:val="771769F1"/>
    <w:rsid w:val="772E1EBA"/>
    <w:rsid w:val="775260C5"/>
    <w:rsid w:val="775B2E01"/>
    <w:rsid w:val="77EB208A"/>
    <w:rsid w:val="781926BC"/>
    <w:rsid w:val="7956193F"/>
    <w:rsid w:val="796D60A4"/>
    <w:rsid w:val="79A031D5"/>
    <w:rsid w:val="7A1525F7"/>
    <w:rsid w:val="7A3E58FC"/>
    <w:rsid w:val="7B420052"/>
    <w:rsid w:val="7BD06A28"/>
    <w:rsid w:val="7C3A7C0B"/>
    <w:rsid w:val="7C5248E4"/>
    <w:rsid w:val="7C566698"/>
    <w:rsid w:val="7C5866A3"/>
    <w:rsid w:val="7D7406BB"/>
    <w:rsid w:val="7DB14637"/>
    <w:rsid w:val="7DE94331"/>
    <w:rsid w:val="7F446A19"/>
    <w:rsid w:val="7F7452B9"/>
    <w:rsid w:val="F9D4E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4">
    <w:name w:val="页脚 Char"/>
    <w:basedOn w:val="8"/>
    <w:link w:val="2"/>
    <w:qFormat/>
    <w:uiPriority w:val="99"/>
    <w:rPr>
      <w:rFonts w:ascii="宋体" w:hAnsi="宋体"/>
      <w:sz w:val="18"/>
      <w:szCs w:val="18"/>
    </w:rPr>
  </w:style>
  <w:style w:type="paragraph" w:styleId="15">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716</Words>
  <Characters>4085</Characters>
  <Lines>34</Lines>
  <Paragraphs>9</Paragraphs>
  <TotalTime>27</TotalTime>
  <ScaleCrop>false</ScaleCrop>
  <LinksUpToDate>false</LinksUpToDate>
  <CharactersWithSpaces>4792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guest</cp:lastModifiedBy>
  <dcterms:modified xsi:type="dcterms:W3CDTF">2024-10-17T19:22:26Z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BB46EABDBB2749749395447164B066B3_12</vt:lpwstr>
  </property>
</Properties>
</file>