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重庆市长寿区经济和信息化委员会</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202</w:t>
      </w:r>
      <w:r>
        <w:rPr>
          <w:rFonts w:hint="eastAsia" w:ascii="方正小标宋_GBK" w:hAnsi="方正小标宋_GBK" w:eastAsia="方正小标宋_GBK" w:cs="方正小标宋_GBK"/>
          <w:color w:val="000000"/>
          <w:sz w:val="44"/>
          <w:szCs w:val="44"/>
          <w:lang w:val="en-US" w:eastAsia="zh-CN"/>
        </w:rPr>
        <w:t>3</w:t>
      </w:r>
      <w:r>
        <w:rPr>
          <w:rFonts w:hint="eastAsia" w:ascii="方正小标宋_GBK" w:hAnsi="方正小标宋_GBK" w:eastAsia="方正小标宋_GBK" w:cs="方正小标宋_GBK"/>
          <w:color w:val="000000"/>
          <w:sz w:val="44"/>
          <w:szCs w:val="44"/>
        </w:rPr>
        <w:t>年政府信息公开工作年度报告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color w:val="000000"/>
          <w:szCs w:val="32"/>
        </w:rPr>
      </w:pP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ascii="方正黑体_GBK" w:hAnsi="方正黑体_GBK" w:eastAsia="方正黑体_GBK" w:cs="方正黑体_GBK"/>
          <w:color w:val="000000"/>
          <w:szCs w:val="32"/>
        </w:rPr>
      </w:pPr>
      <w:r>
        <w:rPr>
          <w:rFonts w:hint="eastAsia" w:ascii="方正黑体_GBK" w:hAnsi="方正黑体_GBK" w:eastAsia="方正黑体_GBK" w:cs="方正黑体_GBK"/>
          <w:color w:val="000000"/>
          <w:szCs w:val="32"/>
        </w:rPr>
        <w:t>总体情况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color w:val="000000"/>
          <w:szCs w:val="32"/>
        </w:rPr>
      </w:pPr>
      <w:r>
        <w:rPr>
          <w:rFonts w:hint="eastAsia"/>
          <w:color w:val="000000"/>
          <w:szCs w:val="32"/>
        </w:rPr>
        <w:t>202</w:t>
      </w:r>
      <w:r>
        <w:rPr>
          <w:rFonts w:hint="eastAsia"/>
          <w:color w:val="000000"/>
          <w:szCs w:val="32"/>
          <w:lang w:val="en-US" w:eastAsia="zh-CN"/>
        </w:rPr>
        <w:t>3</w:t>
      </w:r>
      <w:r>
        <w:rPr>
          <w:rFonts w:hint="eastAsia"/>
          <w:color w:val="000000"/>
          <w:szCs w:val="32"/>
        </w:rPr>
        <w:t>年，重庆市长寿区经济和信息化委员会坚持以习近平新时代中国特色社会主义思想为指导，</w:t>
      </w:r>
      <w:r>
        <w:t>全面学习贯彻党</w:t>
      </w:r>
      <w:r>
        <w:rPr>
          <w:rFonts w:hint="eastAsia"/>
        </w:rPr>
        <w:t>的</w:t>
      </w:r>
      <w:r>
        <w:t>二十大精神</w:t>
      </w:r>
      <w:r>
        <w:rPr>
          <w:rFonts w:hint="eastAsia"/>
        </w:rPr>
        <w:t>，</w:t>
      </w:r>
      <w:r>
        <w:rPr>
          <w:rFonts w:hint="eastAsia"/>
          <w:color w:val="000000"/>
          <w:szCs w:val="32"/>
        </w:rPr>
        <w:t>准确执行《中华人民共和国政府信息公开条例》，大力推进政务公开工作</w:t>
      </w:r>
      <w:r>
        <w:rPr>
          <w:rFonts w:hint="eastAsia"/>
          <w:color w:val="000000"/>
          <w:szCs w:val="32"/>
          <w:lang w:eastAsia="zh-CN"/>
        </w:rPr>
        <w:t>，进一步提高政府信息公开质效，</w:t>
      </w:r>
      <w:r>
        <w:rPr>
          <w:rFonts w:hint="eastAsia"/>
          <w:color w:val="000000"/>
          <w:szCs w:val="32"/>
          <w:lang w:val="en-US" w:eastAsia="zh-CN"/>
        </w:rPr>
        <w:t>切实</w:t>
      </w:r>
      <w:r>
        <w:rPr>
          <w:rFonts w:hint="eastAsia"/>
        </w:rPr>
        <w:t>保障人民群众知情权、参与权、表达权、监督权</w:t>
      </w:r>
      <w:r>
        <w:rPr>
          <w:rFonts w:hint="eastAsia"/>
          <w:color w:val="000000"/>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color w:val="000000"/>
          <w:szCs w:val="32"/>
        </w:rPr>
      </w:pPr>
      <w:r>
        <w:rPr>
          <w:rFonts w:hint="eastAsia" w:ascii="方正楷体_GBK" w:hAnsi="方正楷体_GBK" w:eastAsia="方正楷体_GBK" w:cs="方正楷体_GBK"/>
          <w:color w:val="000000"/>
          <w:szCs w:val="32"/>
        </w:rPr>
        <w:t>（一）主动公开情况。</w:t>
      </w:r>
      <w:r>
        <w:rPr>
          <w:rFonts w:hint="eastAsia"/>
          <w:color w:val="000000"/>
          <w:szCs w:val="32"/>
          <w:lang w:val="en-US" w:eastAsia="zh-CN"/>
        </w:rPr>
        <w:t>2023年我委通过官方网站主</w:t>
      </w:r>
      <w:r>
        <w:rPr>
          <w:rFonts w:hint="eastAsia"/>
          <w:color w:val="000000"/>
          <w:szCs w:val="32"/>
        </w:rPr>
        <w:t>动公开</w:t>
      </w:r>
      <w:r>
        <w:rPr>
          <w:rFonts w:hint="eastAsia"/>
          <w:color w:val="000000"/>
          <w:szCs w:val="32"/>
          <w:lang w:val="en-US" w:eastAsia="zh-CN"/>
        </w:rPr>
        <w:t>信息60条</w:t>
      </w:r>
      <w:r>
        <w:rPr>
          <w:rFonts w:hint="eastAsia"/>
          <w:color w:val="000000"/>
          <w:szCs w:val="32"/>
          <w:lang w:eastAsia="zh-CN"/>
        </w:rPr>
        <w:t>，</w:t>
      </w:r>
      <w:r>
        <w:rPr>
          <w:rFonts w:hint="eastAsia"/>
          <w:color w:val="000000"/>
          <w:szCs w:val="32"/>
          <w:lang w:val="en-US" w:eastAsia="zh-CN"/>
        </w:rPr>
        <w:t>内容涵盖工业项目投资、优质市场主体培育、数字化转型升级、能源要素保障等方面</w:t>
      </w:r>
      <w:r>
        <w:rPr>
          <w:rFonts w:hint="eastAsia"/>
          <w:color w:val="000000"/>
          <w:szCs w:val="32"/>
        </w:rPr>
        <w:t>，</w:t>
      </w:r>
      <w:r>
        <w:rPr>
          <w:rFonts w:hint="eastAsia"/>
          <w:color w:val="000000"/>
          <w:szCs w:val="32"/>
          <w:lang w:val="en-US" w:eastAsia="zh-CN"/>
        </w:rPr>
        <w:t>及时传达发布最新政策信息，</w:t>
      </w:r>
      <w:r>
        <w:rPr>
          <w:rFonts w:hint="eastAsia"/>
          <w:color w:val="000000"/>
          <w:szCs w:val="32"/>
        </w:rPr>
        <w:t>并</w:t>
      </w:r>
      <w:r>
        <w:rPr>
          <w:rFonts w:hint="eastAsia"/>
          <w:color w:val="000000"/>
          <w:szCs w:val="32"/>
          <w:lang w:val="en-US" w:eastAsia="zh-CN"/>
        </w:rPr>
        <w:t>按时定期公布工作动态</w:t>
      </w:r>
      <w:r>
        <w:rPr>
          <w:rFonts w:hint="eastAsia"/>
          <w:color w:val="000000"/>
          <w:szCs w:val="32"/>
        </w:rPr>
        <w:t>。</w:t>
      </w:r>
      <w:r>
        <w:rPr>
          <w:rFonts w:hint="eastAsia"/>
          <w:color w:val="auto"/>
          <w:szCs w:val="32"/>
          <w:lang w:val="en-US" w:eastAsia="zh-CN"/>
        </w:rPr>
        <w:t>在发布的政务信息中，</w:t>
      </w:r>
      <w:r>
        <w:rPr>
          <w:rFonts w:hint="eastAsia"/>
          <w:color w:val="auto"/>
          <w:szCs w:val="32"/>
        </w:rPr>
        <w:t>法定主动公开信息</w:t>
      </w:r>
      <w:r>
        <w:rPr>
          <w:rFonts w:hint="eastAsia"/>
          <w:color w:val="auto"/>
          <w:szCs w:val="32"/>
          <w:lang w:val="en-US" w:eastAsia="zh-CN"/>
        </w:rPr>
        <w:t>19</w:t>
      </w:r>
      <w:r>
        <w:rPr>
          <w:rFonts w:hint="eastAsia"/>
          <w:color w:val="auto"/>
          <w:szCs w:val="32"/>
        </w:rPr>
        <w:t>条</w:t>
      </w:r>
      <w:r>
        <w:rPr>
          <w:rFonts w:hint="eastAsia"/>
          <w:color w:val="auto"/>
          <w:szCs w:val="32"/>
          <w:lang w:eastAsia="zh-CN"/>
        </w:rPr>
        <w:t>，</w:t>
      </w:r>
      <w:r>
        <w:rPr>
          <w:rFonts w:hint="eastAsia"/>
          <w:color w:val="auto"/>
          <w:szCs w:val="32"/>
        </w:rPr>
        <w:t>其他政府信息</w:t>
      </w:r>
      <w:r>
        <w:rPr>
          <w:rFonts w:hint="eastAsia"/>
          <w:color w:val="auto"/>
          <w:szCs w:val="32"/>
          <w:lang w:val="en-US" w:eastAsia="zh-CN"/>
        </w:rPr>
        <w:t>41</w:t>
      </w:r>
      <w:r>
        <w:rPr>
          <w:rFonts w:hint="eastAsia"/>
          <w:color w:val="auto"/>
          <w:szCs w:val="32"/>
        </w:rPr>
        <w:t>条；发布行政许可</w:t>
      </w:r>
      <w:r>
        <w:rPr>
          <w:rFonts w:hint="eastAsia"/>
          <w:color w:val="auto"/>
          <w:szCs w:val="32"/>
          <w:lang w:val="en-US" w:eastAsia="zh-CN"/>
        </w:rPr>
        <w:t>23件</w:t>
      </w:r>
      <w:r>
        <w:rPr>
          <w:rFonts w:hint="eastAsia"/>
          <w:color w:val="auto"/>
          <w:szCs w:val="32"/>
          <w:lang w:eastAsia="zh-CN"/>
        </w:rPr>
        <w:t>，</w:t>
      </w:r>
      <w:r>
        <w:rPr>
          <w:rFonts w:hint="eastAsia"/>
          <w:color w:val="auto"/>
          <w:szCs w:val="32"/>
        </w:rPr>
        <w:t>行政处罚</w:t>
      </w:r>
      <w:r>
        <w:rPr>
          <w:rFonts w:hint="eastAsia"/>
          <w:color w:val="auto"/>
          <w:szCs w:val="32"/>
          <w:lang w:val="en-US" w:eastAsia="zh-CN"/>
        </w:rPr>
        <w:t>10</w:t>
      </w:r>
      <w:r>
        <w:rPr>
          <w:rFonts w:hint="eastAsia"/>
          <w:color w:val="auto"/>
          <w:szCs w:val="32"/>
        </w:rPr>
        <w:t>件，</w:t>
      </w:r>
      <w:r>
        <w:rPr>
          <w:rFonts w:hint="eastAsia"/>
          <w:color w:val="000000"/>
          <w:szCs w:val="32"/>
        </w:rPr>
        <w:t>未有行政事业性收费项目。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color w:val="000000"/>
          <w:szCs w:val="32"/>
        </w:rPr>
      </w:pPr>
      <w:r>
        <w:rPr>
          <w:rFonts w:hint="eastAsia" w:ascii="方正楷体_GBK" w:hAnsi="方正楷体_GBK" w:eastAsia="方正楷体_GBK" w:cs="方正楷体_GBK"/>
          <w:color w:val="000000"/>
          <w:szCs w:val="32"/>
        </w:rPr>
        <w:t>（二）依申请公开情况。</w:t>
      </w:r>
      <w:r>
        <w:rPr>
          <w:rFonts w:hint="eastAsia" w:ascii="方正仿宋_GBK" w:hAnsi="方正仿宋_GBK" w:eastAsia="方正仿宋_GBK" w:cs="方正仿宋_GBK"/>
          <w:color w:val="000000"/>
          <w:szCs w:val="32"/>
          <w:lang w:eastAsia="zh-CN"/>
        </w:rPr>
        <w:t>我</w:t>
      </w:r>
      <w:r>
        <w:rPr>
          <w:rFonts w:hint="eastAsia" w:ascii="方正仿宋_GBK" w:hAnsi="方正仿宋_GBK" w:eastAsia="方正仿宋_GBK" w:cs="方正仿宋_GBK"/>
          <w:color w:val="000000"/>
          <w:szCs w:val="32"/>
          <w:lang w:val="en-US" w:eastAsia="zh-CN"/>
        </w:rPr>
        <w:t>委</w:t>
      </w:r>
      <w:r>
        <w:rPr>
          <w:rFonts w:hint="eastAsia"/>
          <w:color w:val="000000"/>
          <w:szCs w:val="32"/>
        </w:rPr>
        <w:t>全年</w:t>
      </w:r>
      <w:r>
        <w:rPr>
          <w:rFonts w:hint="eastAsia"/>
          <w:color w:val="000000"/>
          <w:szCs w:val="32"/>
          <w:lang w:val="en-US" w:eastAsia="zh-CN"/>
        </w:rPr>
        <w:t>共收到</w:t>
      </w:r>
      <w:r>
        <w:rPr>
          <w:rFonts w:hint="eastAsia"/>
          <w:color w:val="000000"/>
          <w:szCs w:val="32"/>
        </w:rPr>
        <w:t>政府信息公开申请</w:t>
      </w:r>
      <w:r>
        <w:rPr>
          <w:rFonts w:hint="eastAsia"/>
          <w:color w:val="000000"/>
          <w:szCs w:val="32"/>
          <w:lang w:val="en-US" w:eastAsia="zh-CN"/>
        </w:rPr>
        <w:t>1</w:t>
      </w:r>
      <w:r>
        <w:rPr>
          <w:rFonts w:hint="eastAsia"/>
          <w:color w:val="000000"/>
          <w:szCs w:val="32"/>
        </w:rPr>
        <w:t>件，</w:t>
      </w:r>
      <w:r>
        <w:rPr>
          <w:rFonts w:hint="eastAsia"/>
          <w:color w:val="000000"/>
          <w:szCs w:val="32"/>
          <w:lang w:val="en-US" w:eastAsia="zh-CN"/>
        </w:rPr>
        <w:t>已按照</w:t>
      </w:r>
      <w:r>
        <w:rPr>
          <w:rFonts w:hint="eastAsia"/>
          <w:color w:val="000000"/>
          <w:szCs w:val="32"/>
        </w:rPr>
        <w:t>《中华人民共和国政府信息公开条例》</w:t>
      </w:r>
      <w:r>
        <w:rPr>
          <w:rFonts w:hint="eastAsia"/>
          <w:color w:val="000000"/>
          <w:szCs w:val="32"/>
          <w:lang w:val="en-US" w:eastAsia="zh-CN"/>
        </w:rPr>
        <w:t>规定的</w:t>
      </w:r>
      <w:r>
        <w:rPr>
          <w:rFonts w:hint="eastAsia"/>
          <w:color w:val="000000"/>
          <w:szCs w:val="32"/>
        </w:rPr>
        <w:t>时限和答复方式依法依规予以答复</w:t>
      </w:r>
      <w:r>
        <w:rPr>
          <w:rFonts w:hint="eastAsia"/>
          <w:color w:val="000000"/>
          <w:szCs w:val="32"/>
          <w:lang w:eastAsia="zh-CN"/>
        </w:rPr>
        <w:t>，</w:t>
      </w:r>
      <w:r>
        <w:rPr>
          <w:rFonts w:hint="eastAsia"/>
          <w:color w:val="000000"/>
          <w:szCs w:val="32"/>
        </w:rPr>
        <w:t>及时满足社会公众个性化的信息需求</w:t>
      </w:r>
      <w:r>
        <w:rPr>
          <w:rFonts w:hint="eastAsia"/>
          <w:color w:val="000000"/>
          <w:szCs w:val="32"/>
          <w:lang w:eastAsia="zh-CN"/>
        </w:rPr>
        <w:t>，</w:t>
      </w:r>
      <w:r>
        <w:rPr>
          <w:rFonts w:hint="eastAsia"/>
          <w:color w:val="000000"/>
          <w:szCs w:val="32"/>
        </w:rPr>
        <w:t>回复办结率100%</w:t>
      </w:r>
      <w:r>
        <w:rPr>
          <w:rFonts w:hint="eastAsia"/>
          <w:color w:val="000000"/>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eastAsia="方正仿宋_GBK"/>
          <w:color w:val="000000"/>
          <w:szCs w:val="32"/>
          <w:lang w:val="en-US" w:eastAsia="zh-CN"/>
        </w:rPr>
      </w:pPr>
      <w:r>
        <w:rPr>
          <w:rFonts w:hint="eastAsia" w:ascii="方正楷体_GBK" w:hAnsi="方正楷体_GBK" w:eastAsia="方正楷体_GBK" w:cs="方正楷体_GBK"/>
          <w:color w:val="000000"/>
          <w:szCs w:val="32"/>
        </w:rPr>
        <w:t>（三）政府信息管理情况。</w:t>
      </w:r>
      <w:r>
        <w:rPr>
          <w:rFonts w:hint="eastAsia"/>
          <w:color w:val="000000"/>
          <w:szCs w:val="32"/>
          <w:lang w:val="en-US" w:eastAsia="zh-CN"/>
        </w:rPr>
        <w:t>我委高度重视政府信息公开工作，严格执行信息编写、审核和报送“三审三校”制度，规范信息发布流程；积极参加政务信息公开专题培训，提升人员工作水平，强化公开意识；及时更新发布委机构职能、委</w:t>
      </w:r>
      <w:r>
        <w:rPr>
          <w:rFonts w:hint="eastAsia"/>
          <w:lang w:eastAsia="zh-CN"/>
        </w:rPr>
        <w:t>下属事业单位及管理企业单位信息，</w:t>
      </w:r>
      <w:r>
        <w:rPr>
          <w:rFonts w:hint="eastAsia"/>
          <w:color w:val="000000"/>
          <w:szCs w:val="32"/>
        </w:rPr>
        <w:t>专题公开</w:t>
      </w:r>
      <w:r>
        <w:rPr>
          <w:rFonts w:hint="eastAsia"/>
          <w:color w:val="000000"/>
          <w:szCs w:val="32"/>
          <w:lang w:eastAsia="zh-CN"/>
        </w:rPr>
        <w:t>区第十九届人大第</w:t>
      </w:r>
      <w:r>
        <w:rPr>
          <w:rFonts w:hint="eastAsia"/>
          <w:color w:val="000000"/>
          <w:szCs w:val="32"/>
          <w:lang w:val="en-US" w:eastAsia="zh-CN"/>
        </w:rPr>
        <w:t>三</w:t>
      </w:r>
      <w:r>
        <w:rPr>
          <w:rFonts w:hint="eastAsia"/>
          <w:color w:val="000000"/>
          <w:szCs w:val="32"/>
          <w:lang w:eastAsia="zh-CN"/>
        </w:rPr>
        <w:t>次会议代表提出建议</w:t>
      </w:r>
      <w:r>
        <w:rPr>
          <w:rFonts w:hint="eastAsia"/>
          <w:color w:val="000000"/>
          <w:szCs w:val="32"/>
          <w:lang w:val="en-US" w:eastAsia="zh-CN"/>
        </w:rPr>
        <w:t>12件</w:t>
      </w:r>
      <w:r>
        <w:rPr>
          <w:rFonts w:hint="eastAsia"/>
          <w:color w:val="000000"/>
          <w:szCs w:val="32"/>
          <w:lang w:eastAsia="zh-CN"/>
        </w:rPr>
        <w:t>、</w:t>
      </w:r>
      <w:r>
        <w:rPr>
          <w:rFonts w:hint="eastAsia"/>
          <w:color w:val="000000"/>
          <w:szCs w:val="32"/>
        </w:rPr>
        <w:t>政协区第十六届委员会第</w:t>
      </w:r>
      <w:r>
        <w:rPr>
          <w:rFonts w:hint="eastAsia"/>
          <w:color w:val="000000"/>
          <w:szCs w:val="32"/>
          <w:lang w:val="en-US" w:eastAsia="zh-CN"/>
        </w:rPr>
        <w:t>二</w:t>
      </w:r>
      <w:r>
        <w:rPr>
          <w:rFonts w:hint="eastAsia"/>
          <w:color w:val="000000"/>
          <w:szCs w:val="32"/>
        </w:rPr>
        <w:t>次会议提案</w:t>
      </w:r>
      <w:r>
        <w:rPr>
          <w:rFonts w:hint="eastAsia"/>
          <w:color w:val="000000"/>
          <w:szCs w:val="32"/>
          <w:lang w:val="en-US" w:eastAsia="zh-CN"/>
        </w:rPr>
        <w:t>6</w:t>
      </w:r>
      <w:r>
        <w:rPr>
          <w:rFonts w:hint="eastAsia"/>
          <w:color w:val="000000"/>
          <w:szCs w:val="32"/>
        </w:rPr>
        <w:t>件</w:t>
      </w:r>
      <w:r>
        <w:rPr>
          <w:rFonts w:hint="eastAsia"/>
          <w:color w:val="000000"/>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color w:val="000000"/>
          <w:szCs w:val="32"/>
        </w:rPr>
      </w:pPr>
      <w:r>
        <w:rPr>
          <w:rFonts w:hint="eastAsia" w:ascii="方正楷体_GBK" w:hAnsi="方正楷体_GBK" w:eastAsia="方正楷体_GBK" w:cs="方正楷体_GBK"/>
          <w:color w:val="000000"/>
          <w:sz w:val="30"/>
          <w:szCs w:val="30"/>
        </w:rPr>
        <w:t>（四）平台建设情况。</w:t>
      </w:r>
      <w:r>
        <w:rPr>
          <w:rFonts w:hint="eastAsia"/>
          <w:color w:val="000000"/>
          <w:szCs w:val="32"/>
        </w:rPr>
        <w:t>我委网站按照政府网站集约化要求部署在统一平台</w:t>
      </w:r>
      <w:r>
        <w:rPr>
          <w:rFonts w:hint="eastAsia"/>
          <w:color w:val="000000"/>
          <w:szCs w:val="32"/>
          <w:lang w:eastAsia="zh-CN"/>
        </w:rPr>
        <w:t>，</w:t>
      </w:r>
      <w:r>
        <w:rPr>
          <w:rFonts w:hint="eastAsia"/>
          <w:color w:val="000000"/>
          <w:szCs w:val="32"/>
          <w:lang w:val="en-US" w:eastAsia="zh-CN"/>
        </w:rPr>
        <w:t>工作人员严格执行操作管理要求，切实维护网站信息安全，并</w:t>
      </w:r>
      <w:r>
        <w:rPr>
          <w:rFonts w:hint="eastAsia"/>
          <w:color w:val="000000"/>
          <w:szCs w:val="32"/>
        </w:rPr>
        <w:t>围绕</w:t>
      </w:r>
      <w:r>
        <w:rPr>
          <w:rFonts w:hint="eastAsia"/>
          <w:color w:val="000000"/>
          <w:szCs w:val="32"/>
          <w:lang w:val="en-US" w:eastAsia="zh-CN"/>
        </w:rPr>
        <w:t>委</w:t>
      </w:r>
      <w:r>
        <w:rPr>
          <w:rFonts w:hint="eastAsia"/>
          <w:color w:val="000000"/>
          <w:szCs w:val="32"/>
        </w:rPr>
        <w:t>重点工作，</w:t>
      </w:r>
      <w:r>
        <w:rPr>
          <w:rFonts w:hint="eastAsia"/>
          <w:color w:val="000000"/>
          <w:szCs w:val="32"/>
          <w:lang w:val="en-US" w:eastAsia="zh-CN"/>
        </w:rPr>
        <w:t>优化网站平台建设，科学合理设置信息公开栏目，让工业企业、社会公众等更加便捷高效地获取最新政策信息、跟进项目进展情况、知悉重点关注问题的最新动态</w:t>
      </w:r>
      <w:r>
        <w:rPr>
          <w:rFonts w:hint="eastAsia"/>
          <w:color w:val="000000"/>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color w:val="000000"/>
          <w:szCs w:val="32"/>
        </w:rPr>
      </w:pPr>
      <w:r>
        <w:rPr>
          <w:rFonts w:hint="eastAsia" w:ascii="方正楷体_GBK" w:hAnsi="方正楷体_GBK" w:eastAsia="方正楷体_GBK" w:cs="方正楷体_GBK"/>
          <w:color w:val="000000"/>
          <w:sz w:val="30"/>
          <w:szCs w:val="30"/>
        </w:rPr>
        <w:t>（</w:t>
      </w:r>
      <w:r>
        <w:rPr>
          <w:rFonts w:hint="eastAsia" w:ascii="方正楷体_GBK" w:hAnsi="方正楷体_GBK" w:eastAsia="方正楷体_GBK" w:cs="方正楷体_GBK"/>
          <w:color w:val="000000"/>
          <w:sz w:val="30"/>
          <w:szCs w:val="30"/>
          <w:lang w:val="en-US" w:eastAsia="zh-CN"/>
        </w:rPr>
        <w:t>五</w:t>
      </w:r>
      <w:r>
        <w:rPr>
          <w:rFonts w:hint="eastAsia" w:ascii="方正楷体_GBK" w:hAnsi="方正楷体_GBK" w:eastAsia="方正楷体_GBK" w:cs="方正楷体_GBK"/>
          <w:color w:val="000000"/>
          <w:sz w:val="30"/>
          <w:szCs w:val="30"/>
        </w:rPr>
        <w:t>）监督保障情况。</w:t>
      </w:r>
      <w:r>
        <w:rPr>
          <w:rFonts w:hint="eastAsia"/>
          <w:color w:val="000000"/>
          <w:szCs w:val="32"/>
        </w:rPr>
        <w:t>建立健全政府信息公开申请登记、审核、办理、答复、归档等制度，</w:t>
      </w:r>
      <w:r>
        <w:rPr>
          <w:rFonts w:hint="eastAsia"/>
          <w:color w:val="000000"/>
          <w:szCs w:val="32"/>
          <w:lang w:val="en-US" w:eastAsia="zh-CN"/>
        </w:rPr>
        <w:t>严格审核发布信息，</w:t>
      </w:r>
      <w:r>
        <w:rPr>
          <w:rFonts w:hint="eastAsia"/>
          <w:color w:val="000000"/>
          <w:szCs w:val="32"/>
        </w:rPr>
        <w:t>对敏感词、错别字、可能违规信息内容等问题进行技术检测和人工排查，防止出现严重表述错误</w:t>
      </w:r>
      <w:r>
        <w:rPr>
          <w:rFonts w:hint="eastAsia"/>
          <w:color w:val="000000"/>
          <w:szCs w:val="32"/>
          <w:lang w:eastAsia="zh-CN"/>
        </w:rPr>
        <w:t>。</w:t>
      </w:r>
      <w:r>
        <w:rPr>
          <w:rFonts w:hint="eastAsia"/>
          <w:color w:val="000000"/>
          <w:szCs w:val="32"/>
          <w:lang w:val="en-US" w:eastAsia="zh-CN"/>
        </w:rPr>
        <w:t>加</w:t>
      </w:r>
      <w:r>
        <w:rPr>
          <w:rFonts w:hint="eastAsia"/>
          <w:color w:val="000000"/>
          <w:szCs w:val="32"/>
        </w:rPr>
        <w:t>强组织管理，</w:t>
      </w:r>
      <w:r>
        <w:rPr>
          <w:rFonts w:hint="eastAsia"/>
          <w:color w:val="000000"/>
          <w:szCs w:val="32"/>
          <w:lang w:val="en-US" w:eastAsia="zh-CN"/>
        </w:rPr>
        <w:t>保障信息接收渠道畅通，接受公众监督检查</w:t>
      </w:r>
      <w:r>
        <w:rPr>
          <w:rFonts w:hint="eastAsia"/>
          <w:color w:val="000000"/>
          <w:szCs w:val="32"/>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方正黑体_GBK" w:hAnsi="方正黑体_GBK" w:eastAsia="方正黑体_GBK" w:cs="方正黑体_GBK"/>
          <w:color w:val="000000"/>
          <w:szCs w:val="32"/>
        </w:rPr>
      </w:pPr>
      <w:r>
        <w:rPr>
          <w:rFonts w:hint="eastAsia" w:ascii="方正黑体_GBK" w:hAnsi="方正黑体_GBK" w:eastAsia="方正黑体_GBK" w:cs="方正黑体_GBK"/>
          <w:color w:val="000000"/>
          <w:szCs w:val="32"/>
        </w:rPr>
        <w:t>二、主动公开政府信息情况</w:t>
      </w:r>
    </w:p>
    <w:tbl>
      <w:tblPr>
        <w:tblStyle w:val="4"/>
        <w:tblW w:w="97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435"/>
        <w:gridCol w:w="2435"/>
        <w:gridCol w:w="2435"/>
        <w:gridCol w:w="24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9740" w:type="dxa"/>
            <w:gridSpan w:val="4"/>
            <w:shd w:val="clear" w:color="auto" w:fill="FFFFFF"/>
            <w:tcMar>
              <w:left w:w="57" w:type="dxa"/>
              <w:right w:w="57" w:type="dxa"/>
            </w:tcMar>
            <w:vAlign w:val="center"/>
          </w:tcPr>
          <w:p>
            <w:pPr>
              <w:widowControl/>
              <w:jc w:val="center"/>
            </w:pPr>
            <w:r>
              <w:rPr>
                <w:rFonts w:hint="eastAsia" w:eastAsia="宋体" w:cs="宋体"/>
                <w:kern w:val="0"/>
                <w:sz w:val="20"/>
              </w:rPr>
              <w:t>第二十条第（一）项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cMar>
              <w:left w:w="57" w:type="dxa"/>
              <w:right w:w="57" w:type="dxa"/>
            </w:tcMar>
            <w:vAlign w:val="center"/>
          </w:tcPr>
          <w:p>
            <w:pPr>
              <w:widowControl/>
              <w:jc w:val="center"/>
            </w:pPr>
            <w:r>
              <w:rPr>
                <w:rFonts w:hint="eastAsia" w:eastAsia="宋体" w:cs="宋体"/>
                <w:kern w:val="0"/>
                <w:sz w:val="20"/>
              </w:rPr>
              <w:t>信息内容</w:t>
            </w:r>
          </w:p>
        </w:tc>
        <w:tc>
          <w:tcPr>
            <w:tcW w:w="2435" w:type="dxa"/>
            <w:tcMar>
              <w:left w:w="57" w:type="dxa"/>
              <w:right w:w="57" w:type="dxa"/>
            </w:tcMar>
            <w:vAlign w:val="center"/>
          </w:tcPr>
          <w:p>
            <w:pPr>
              <w:widowControl/>
              <w:jc w:val="center"/>
            </w:pPr>
            <w:r>
              <w:rPr>
                <w:rFonts w:hint="eastAsia" w:eastAsia="宋体" w:cs="宋体"/>
                <w:kern w:val="0"/>
                <w:sz w:val="20"/>
              </w:rPr>
              <w:t>本年制发件数</w:t>
            </w:r>
          </w:p>
        </w:tc>
        <w:tc>
          <w:tcPr>
            <w:tcW w:w="2435" w:type="dxa"/>
            <w:tcMar>
              <w:left w:w="57" w:type="dxa"/>
              <w:right w:w="57" w:type="dxa"/>
            </w:tcMar>
            <w:vAlign w:val="center"/>
          </w:tcPr>
          <w:p>
            <w:pPr>
              <w:widowControl/>
              <w:jc w:val="center"/>
            </w:pPr>
            <w:r>
              <w:rPr>
                <w:rFonts w:hint="eastAsia" w:eastAsia="宋体" w:cs="宋体"/>
                <w:kern w:val="0"/>
                <w:sz w:val="20"/>
              </w:rPr>
              <w:t>本年废止件数</w:t>
            </w:r>
          </w:p>
        </w:tc>
        <w:tc>
          <w:tcPr>
            <w:tcW w:w="2435" w:type="dxa"/>
            <w:tcMar>
              <w:left w:w="57" w:type="dxa"/>
              <w:right w:w="57" w:type="dxa"/>
            </w:tcMar>
            <w:vAlign w:val="center"/>
          </w:tcPr>
          <w:p>
            <w:pPr>
              <w:widowControl/>
              <w:jc w:val="center"/>
            </w:pPr>
            <w:r>
              <w:rPr>
                <w:rFonts w:hint="eastAsia" w:eastAsia="宋体" w:cs="宋体"/>
                <w:kern w:val="0"/>
                <w:sz w:val="20"/>
              </w:rPr>
              <w:t>现行有效件数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cMar>
              <w:left w:w="57" w:type="dxa"/>
              <w:right w:w="57" w:type="dxa"/>
            </w:tcMar>
            <w:vAlign w:val="center"/>
          </w:tcPr>
          <w:p>
            <w:pPr>
              <w:widowControl/>
              <w:jc w:val="center"/>
            </w:pPr>
            <w:r>
              <w:rPr>
                <w:rFonts w:hint="eastAsia" w:eastAsia="宋体" w:cs="宋体"/>
                <w:kern w:val="0"/>
                <w:sz w:val="20"/>
              </w:rPr>
              <w:t>规章</w:t>
            </w:r>
          </w:p>
        </w:tc>
        <w:tc>
          <w:tcPr>
            <w:tcW w:w="2435" w:type="dxa"/>
            <w:tcMar>
              <w:left w:w="57" w:type="dxa"/>
              <w:right w:w="57" w:type="dxa"/>
            </w:tcMar>
            <w:vAlign w:val="center"/>
          </w:tcPr>
          <w:p>
            <w:pPr>
              <w:widowControl/>
              <w:jc w:val="center"/>
              <w:rPr>
                <w:rFonts w:hint="eastAsia" w:eastAsia="宋体"/>
                <w:lang w:val="en-US" w:eastAsia="zh-CN"/>
              </w:rPr>
            </w:pPr>
            <w:r>
              <w:rPr>
                <w:rFonts w:hint="eastAsia" w:eastAsia="宋体" w:cs="宋体"/>
                <w:kern w:val="0"/>
                <w:sz w:val="20"/>
                <w:lang w:val="en-US" w:eastAsia="zh-CN"/>
              </w:rPr>
              <w:t>0</w:t>
            </w:r>
          </w:p>
        </w:tc>
        <w:tc>
          <w:tcPr>
            <w:tcW w:w="2435" w:type="dxa"/>
            <w:tcMar>
              <w:left w:w="57" w:type="dxa"/>
              <w:right w:w="57" w:type="dxa"/>
            </w:tcMar>
            <w:vAlign w:val="center"/>
          </w:tcPr>
          <w:p>
            <w:pPr>
              <w:widowControl/>
              <w:jc w:val="center"/>
              <w:rPr>
                <w:rFonts w:hint="eastAsia" w:eastAsia="宋体"/>
                <w:lang w:val="en-US" w:eastAsia="zh-CN"/>
              </w:rPr>
            </w:pPr>
            <w:r>
              <w:rPr>
                <w:rFonts w:hint="eastAsia" w:eastAsia="宋体" w:cs="宋体"/>
                <w:kern w:val="0"/>
                <w:sz w:val="20"/>
                <w:lang w:val="en-US" w:eastAsia="zh-CN"/>
              </w:rPr>
              <w:t>0</w:t>
            </w:r>
          </w:p>
        </w:tc>
        <w:tc>
          <w:tcPr>
            <w:tcW w:w="2435" w:type="dxa"/>
            <w:tcMar>
              <w:left w:w="57" w:type="dxa"/>
              <w:right w:w="57" w:type="dxa"/>
            </w:tcMar>
            <w:vAlign w:val="center"/>
          </w:tcPr>
          <w:p>
            <w:pPr>
              <w:widowControl/>
              <w:jc w:val="center"/>
              <w:rPr>
                <w:rFonts w:hint="eastAsia" w:eastAsia="等线"/>
                <w:lang w:val="en-US" w:eastAsia="zh-CN"/>
              </w:rPr>
            </w:pPr>
            <w:r>
              <w:rPr>
                <w:rFonts w:hint="eastAsia" w:eastAsia="等线" w:cs="Calibri"/>
                <w:kern w:val="0"/>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cMar>
              <w:left w:w="57" w:type="dxa"/>
              <w:right w:w="57" w:type="dxa"/>
            </w:tcMar>
            <w:vAlign w:val="center"/>
          </w:tcPr>
          <w:p>
            <w:pPr>
              <w:widowControl/>
              <w:jc w:val="center"/>
            </w:pPr>
            <w:r>
              <w:rPr>
                <w:rFonts w:hint="eastAsia" w:eastAsia="宋体" w:cs="宋体"/>
                <w:kern w:val="0"/>
                <w:sz w:val="20"/>
              </w:rPr>
              <w:t>行政规范性文件</w:t>
            </w:r>
          </w:p>
        </w:tc>
        <w:tc>
          <w:tcPr>
            <w:tcW w:w="2435" w:type="dxa"/>
            <w:tcMar>
              <w:left w:w="57" w:type="dxa"/>
              <w:right w:w="57" w:type="dxa"/>
            </w:tcMar>
            <w:vAlign w:val="center"/>
          </w:tcPr>
          <w:p>
            <w:pPr>
              <w:widowControl/>
              <w:jc w:val="center"/>
              <w:rPr>
                <w:rFonts w:hint="default" w:eastAsia="宋体"/>
                <w:lang w:val="en-US" w:eastAsia="zh-CN"/>
              </w:rPr>
            </w:pPr>
            <w:r>
              <w:rPr>
                <w:rFonts w:hint="eastAsia" w:eastAsia="宋体" w:cs="宋体"/>
                <w:kern w:val="0"/>
                <w:sz w:val="20"/>
                <w:lang w:val="en-US" w:eastAsia="zh-CN"/>
              </w:rPr>
              <w:t>1</w:t>
            </w:r>
          </w:p>
        </w:tc>
        <w:tc>
          <w:tcPr>
            <w:tcW w:w="2435" w:type="dxa"/>
            <w:tcMar>
              <w:left w:w="57" w:type="dxa"/>
              <w:right w:w="57" w:type="dxa"/>
            </w:tcMar>
            <w:vAlign w:val="center"/>
          </w:tcPr>
          <w:p>
            <w:pPr>
              <w:widowControl/>
              <w:jc w:val="center"/>
              <w:rPr>
                <w:rFonts w:hint="default" w:eastAsia="宋体"/>
                <w:lang w:val="en-US" w:eastAsia="zh-CN"/>
              </w:rPr>
            </w:pPr>
            <w:r>
              <w:rPr>
                <w:rFonts w:hint="eastAsia" w:eastAsia="宋体" w:cs="宋体"/>
                <w:kern w:val="0"/>
                <w:sz w:val="20"/>
                <w:lang w:val="en-US" w:eastAsia="zh-CN"/>
              </w:rPr>
              <w:t>0</w:t>
            </w:r>
          </w:p>
        </w:tc>
        <w:tc>
          <w:tcPr>
            <w:tcW w:w="2435" w:type="dxa"/>
            <w:tcMar>
              <w:left w:w="57" w:type="dxa"/>
              <w:right w:w="57" w:type="dxa"/>
            </w:tcMar>
            <w:vAlign w:val="center"/>
          </w:tcPr>
          <w:p>
            <w:pPr>
              <w:widowControl/>
              <w:jc w:val="center"/>
              <w:rPr>
                <w:rFonts w:hint="eastAsia" w:eastAsia="等线"/>
                <w:lang w:val="en-US" w:eastAsia="zh-CN"/>
              </w:rPr>
            </w:pPr>
            <w:r>
              <w:rPr>
                <w:rFonts w:hint="eastAsia" w:eastAsia="等线" w:cs="Calibri"/>
                <w:kern w:val="0"/>
                <w:sz w:val="21"/>
                <w:szCs w:val="21"/>
                <w:lang w:val="en-US" w:eastAsia="zh-CN"/>
              </w:rPr>
              <w:t>3</w:t>
            </w: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9740" w:type="dxa"/>
            <w:gridSpan w:val="4"/>
            <w:shd w:val="clear" w:color="auto" w:fill="FFFFFF"/>
            <w:tcMar>
              <w:left w:w="57" w:type="dxa"/>
              <w:right w:w="57" w:type="dxa"/>
            </w:tcMar>
            <w:vAlign w:val="center"/>
          </w:tcPr>
          <w:p>
            <w:pPr>
              <w:widowControl/>
              <w:jc w:val="center"/>
            </w:pPr>
            <w:r>
              <w:rPr>
                <w:rFonts w:hint="eastAsia" w:eastAsia="宋体" w:cs="宋体"/>
                <w:kern w:val="0"/>
                <w:sz w:val="20"/>
              </w:rPr>
              <w:t>第二十条第（五）项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cMar>
              <w:left w:w="57" w:type="dxa"/>
              <w:right w:w="57" w:type="dxa"/>
            </w:tcMar>
            <w:vAlign w:val="center"/>
          </w:tcPr>
          <w:p>
            <w:pPr>
              <w:widowControl/>
              <w:jc w:val="center"/>
            </w:pPr>
            <w:r>
              <w:rPr>
                <w:rFonts w:hint="eastAsia" w:eastAsia="宋体" w:cs="宋体"/>
                <w:kern w:val="0"/>
                <w:sz w:val="20"/>
              </w:rPr>
              <w:t>信息内容</w:t>
            </w:r>
          </w:p>
        </w:tc>
        <w:tc>
          <w:tcPr>
            <w:tcW w:w="7305" w:type="dxa"/>
            <w:gridSpan w:val="3"/>
            <w:shd w:val="clear" w:color="auto" w:fill="FFFFFF"/>
            <w:tcMar>
              <w:left w:w="57" w:type="dxa"/>
              <w:right w:w="57" w:type="dxa"/>
            </w:tcMar>
            <w:vAlign w:val="center"/>
          </w:tcPr>
          <w:p>
            <w:pPr>
              <w:widowControl/>
              <w:jc w:val="center"/>
            </w:pPr>
            <w:r>
              <w:rPr>
                <w:rFonts w:hint="eastAsia" w:eastAsia="宋体" w:cs="宋体"/>
                <w:kern w:val="0"/>
                <w:sz w:val="20"/>
              </w:rPr>
              <w:t>本年处理决定数量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cMar>
              <w:left w:w="57" w:type="dxa"/>
              <w:right w:w="57" w:type="dxa"/>
            </w:tcMar>
            <w:vAlign w:val="center"/>
          </w:tcPr>
          <w:p>
            <w:pPr>
              <w:widowControl/>
              <w:jc w:val="center"/>
            </w:pPr>
            <w:r>
              <w:rPr>
                <w:rFonts w:hint="eastAsia" w:eastAsia="宋体" w:cs="宋体"/>
                <w:kern w:val="0"/>
                <w:sz w:val="20"/>
              </w:rPr>
              <w:t>行政许可</w:t>
            </w:r>
          </w:p>
        </w:tc>
        <w:tc>
          <w:tcPr>
            <w:tcW w:w="7305" w:type="dxa"/>
            <w:gridSpan w:val="3"/>
            <w:shd w:val="clear" w:color="auto" w:fill="FFFFFF"/>
            <w:tcMar>
              <w:left w:w="57" w:type="dxa"/>
              <w:right w:w="57" w:type="dxa"/>
            </w:tcMar>
            <w:vAlign w:val="center"/>
          </w:tcPr>
          <w:p>
            <w:pPr>
              <w:widowControl/>
              <w:jc w:val="center"/>
              <w:rPr>
                <w:rFonts w:hint="default" w:eastAsia="等线"/>
                <w:lang w:val="en-US" w:eastAsia="zh-CN"/>
              </w:rPr>
            </w:pPr>
            <w:r>
              <w:rPr>
                <w:rFonts w:hint="eastAsia" w:eastAsia="等线" w:cs="Calibri"/>
                <w:kern w:val="0"/>
                <w:sz w:val="21"/>
                <w:szCs w:val="21"/>
                <w:lang w:val="en-US" w:eastAsia="zh-CN"/>
              </w:rPr>
              <w:t>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9740" w:type="dxa"/>
            <w:gridSpan w:val="4"/>
            <w:shd w:val="clear" w:color="auto" w:fill="FFFFFF"/>
            <w:tcMar>
              <w:left w:w="57" w:type="dxa"/>
              <w:right w:w="57" w:type="dxa"/>
            </w:tcMar>
            <w:vAlign w:val="center"/>
          </w:tcPr>
          <w:p>
            <w:pPr>
              <w:widowControl/>
              <w:jc w:val="center"/>
            </w:pPr>
            <w:r>
              <w:rPr>
                <w:rFonts w:hint="eastAsia" w:eastAsia="宋体" w:cs="宋体"/>
                <w:kern w:val="0"/>
                <w:sz w:val="20"/>
              </w:rPr>
              <w:t>第二十条第（六）项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cMar>
              <w:left w:w="57" w:type="dxa"/>
              <w:right w:w="57" w:type="dxa"/>
            </w:tcMar>
            <w:vAlign w:val="center"/>
          </w:tcPr>
          <w:p>
            <w:pPr>
              <w:widowControl/>
              <w:jc w:val="center"/>
            </w:pPr>
            <w:r>
              <w:rPr>
                <w:rFonts w:hint="eastAsia" w:eastAsia="宋体" w:cs="宋体"/>
                <w:kern w:val="0"/>
                <w:sz w:val="20"/>
              </w:rPr>
              <w:t>信息内容</w:t>
            </w:r>
          </w:p>
        </w:tc>
        <w:tc>
          <w:tcPr>
            <w:tcW w:w="7305" w:type="dxa"/>
            <w:gridSpan w:val="3"/>
            <w:shd w:val="clear" w:color="auto" w:fill="FFFFFF"/>
            <w:tcMar>
              <w:left w:w="57" w:type="dxa"/>
              <w:right w:w="57" w:type="dxa"/>
            </w:tcMar>
            <w:vAlign w:val="center"/>
          </w:tcPr>
          <w:p>
            <w:pPr>
              <w:widowControl/>
              <w:jc w:val="center"/>
            </w:pPr>
            <w:r>
              <w:rPr>
                <w:rFonts w:hint="eastAsia" w:eastAsia="宋体" w:cs="宋体"/>
                <w:kern w:val="0"/>
                <w:sz w:val="20"/>
              </w:rPr>
              <w:t>本年处理决定数量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cMar>
              <w:left w:w="57" w:type="dxa"/>
              <w:right w:w="57" w:type="dxa"/>
            </w:tcMar>
            <w:vAlign w:val="center"/>
          </w:tcPr>
          <w:p>
            <w:pPr>
              <w:widowControl/>
              <w:jc w:val="center"/>
            </w:pPr>
            <w:r>
              <w:rPr>
                <w:rFonts w:hint="eastAsia" w:eastAsia="宋体" w:cs="宋体"/>
                <w:kern w:val="0"/>
                <w:sz w:val="20"/>
              </w:rPr>
              <w:t>行政处罚</w:t>
            </w:r>
          </w:p>
        </w:tc>
        <w:tc>
          <w:tcPr>
            <w:tcW w:w="7305" w:type="dxa"/>
            <w:gridSpan w:val="3"/>
            <w:shd w:val="clear" w:color="auto" w:fill="FFFFFF"/>
            <w:tcMar>
              <w:left w:w="57" w:type="dxa"/>
              <w:right w:w="57" w:type="dxa"/>
            </w:tcMar>
            <w:vAlign w:val="center"/>
          </w:tcPr>
          <w:p>
            <w:pPr>
              <w:widowControl/>
              <w:jc w:val="center"/>
              <w:rPr>
                <w:rFonts w:hint="default" w:eastAsia="宋体"/>
                <w:lang w:val="en-US" w:eastAsia="zh-CN"/>
              </w:rPr>
            </w:pPr>
            <w:r>
              <w:rPr>
                <w:rFonts w:hint="eastAsia" w:eastAsia="宋体" w:cs="宋体"/>
                <w:kern w:val="0"/>
                <w:sz w:val="20"/>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cMar>
              <w:left w:w="57" w:type="dxa"/>
              <w:right w:w="57" w:type="dxa"/>
            </w:tcMar>
            <w:vAlign w:val="center"/>
          </w:tcPr>
          <w:p>
            <w:pPr>
              <w:widowControl/>
              <w:jc w:val="center"/>
            </w:pPr>
            <w:r>
              <w:rPr>
                <w:rFonts w:hint="eastAsia" w:eastAsia="宋体" w:cs="宋体"/>
                <w:kern w:val="0"/>
                <w:sz w:val="20"/>
              </w:rPr>
              <w:t>行政强制</w:t>
            </w:r>
          </w:p>
        </w:tc>
        <w:tc>
          <w:tcPr>
            <w:tcW w:w="7305" w:type="dxa"/>
            <w:gridSpan w:val="3"/>
            <w:shd w:val="clear" w:color="auto" w:fill="FFFFFF"/>
            <w:tcMar>
              <w:left w:w="57" w:type="dxa"/>
              <w:right w:w="57" w:type="dxa"/>
            </w:tcMar>
            <w:vAlign w:val="center"/>
          </w:tcPr>
          <w:p>
            <w:pPr>
              <w:widowControl/>
              <w:jc w:val="center"/>
              <w:rPr>
                <w:rFonts w:hint="eastAsia" w:eastAsia="宋体"/>
                <w:lang w:val="en-US" w:eastAsia="zh-CN"/>
              </w:rPr>
            </w:pPr>
            <w:r>
              <w:rPr>
                <w:rFonts w:hint="eastAsia" w:eastAsia="宋体" w:cs="宋体"/>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9740" w:type="dxa"/>
            <w:gridSpan w:val="4"/>
            <w:shd w:val="clear" w:color="auto" w:fill="FFFFFF"/>
            <w:tcMar>
              <w:left w:w="57" w:type="dxa"/>
              <w:right w:w="57" w:type="dxa"/>
            </w:tcMar>
            <w:vAlign w:val="center"/>
          </w:tcPr>
          <w:p>
            <w:pPr>
              <w:widowControl/>
              <w:jc w:val="center"/>
            </w:pPr>
            <w:r>
              <w:rPr>
                <w:rFonts w:hint="eastAsia" w:eastAsia="宋体" w:cs="宋体"/>
                <w:kern w:val="0"/>
                <w:sz w:val="20"/>
              </w:rPr>
              <w:t>第二十条第（八）项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cMar>
              <w:left w:w="57" w:type="dxa"/>
              <w:right w:w="57" w:type="dxa"/>
            </w:tcMar>
            <w:vAlign w:val="center"/>
          </w:tcPr>
          <w:p>
            <w:pPr>
              <w:widowControl/>
              <w:jc w:val="center"/>
            </w:pPr>
            <w:r>
              <w:rPr>
                <w:rFonts w:hint="eastAsia" w:eastAsia="宋体" w:cs="宋体"/>
                <w:kern w:val="0"/>
                <w:sz w:val="20"/>
              </w:rPr>
              <w:t>信息内容</w:t>
            </w:r>
          </w:p>
        </w:tc>
        <w:tc>
          <w:tcPr>
            <w:tcW w:w="7305" w:type="dxa"/>
            <w:gridSpan w:val="3"/>
            <w:shd w:val="clear" w:color="auto" w:fill="FFFFFF"/>
            <w:tcMar>
              <w:left w:w="57" w:type="dxa"/>
              <w:right w:w="57" w:type="dxa"/>
            </w:tcMar>
            <w:vAlign w:val="center"/>
          </w:tcPr>
          <w:p>
            <w:pPr>
              <w:widowControl/>
              <w:jc w:val="center"/>
            </w:pPr>
            <w:r>
              <w:rPr>
                <w:rFonts w:hint="eastAsia" w:eastAsia="宋体" w:cs="宋体"/>
                <w:kern w:val="0"/>
                <w:sz w:val="20"/>
              </w:rPr>
              <w:t>本年收费金额（单位：万元）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435" w:type="dxa"/>
            <w:shd w:val="clear" w:color="auto" w:fill="FFFFFF"/>
            <w:tcMar>
              <w:left w:w="57" w:type="dxa"/>
              <w:right w:w="57" w:type="dxa"/>
            </w:tcMar>
            <w:vAlign w:val="center"/>
          </w:tcPr>
          <w:p>
            <w:pPr>
              <w:widowControl/>
              <w:jc w:val="center"/>
            </w:pPr>
            <w:r>
              <w:rPr>
                <w:rFonts w:hint="eastAsia" w:eastAsia="宋体" w:cs="宋体"/>
                <w:kern w:val="0"/>
                <w:sz w:val="20"/>
              </w:rPr>
              <w:t>行政事业性收费</w:t>
            </w:r>
          </w:p>
        </w:tc>
        <w:tc>
          <w:tcPr>
            <w:tcW w:w="7305" w:type="dxa"/>
            <w:gridSpan w:val="3"/>
            <w:shd w:val="clear" w:color="auto" w:fill="FFFFFF"/>
            <w:tcMar>
              <w:left w:w="57" w:type="dxa"/>
              <w:right w:w="57" w:type="dxa"/>
            </w:tcMar>
            <w:vAlign w:val="center"/>
          </w:tcPr>
          <w:p>
            <w:pPr>
              <w:jc w:val="center"/>
              <w:rPr>
                <w:rFonts w:hint="eastAsia" w:eastAsia="方正仿宋_GBK"/>
                <w:sz w:val="24"/>
                <w:szCs w:val="24"/>
                <w:lang w:val="en-US" w:eastAsia="zh-CN"/>
              </w:rPr>
            </w:pPr>
            <w:r>
              <w:rPr>
                <w:rFonts w:hint="eastAsia"/>
                <w:sz w:val="24"/>
                <w:szCs w:val="24"/>
                <w:lang w:val="en-US" w:eastAsia="zh-CN"/>
              </w:rPr>
              <w:t>0</w:t>
            </w:r>
          </w:p>
        </w:tc>
      </w:tr>
    </w:tbl>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方正黑体_GBK" w:hAnsi="方正黑体_GBK" w:eastAsia="方正黑体_GBK" w:cs="方正黑体_GBK"/>
          <w:color w:val="000000"/>
          <w:szCs w:val="32"/>
        </w:rPr>
      </w:pPr>
      <w:r>
        <w:rPr>
          <w:rFonts w:hint="eastAsia" w:ascii="方正黑体_GBK" w:hAnsi="方正黑体_GBK" w:eastAsia="方正黑体_GBK" w:cs="方正黑体_GBK"/>
          <w:color w:val="000000"/>
          <w:szCs w:val="32"/>
        </w:rPr>
        <w:t>三、收到和处理政府信息公开申请情况</w:t>
      </w:r>
    </w:p>
    <w:tbl>
      <w:tblPr>
        <w:tblStyle w:val="4"/>
        <w:tblW w:w="9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67"/>
        <w:gridCol w:w="943"/>
        <w:gridCol w:w="3221"/>
        <w:gridCol w:w="688"/>
        <w:gridCol w:w="688"/>
        <w:gridCol w:w="688"/>
        <w:gridCol w:w="688"/>
        <w:gridCol w:w="688"/>
        <w:gridCol w:w="688"/>
        <w:gridCol w:w="6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1" w:type="dxa"/>
            <w:gridSpan w:val="3"/>
            <w:vMerge w:val="restart"/>
            <w:tcMar>
              <w:left w:w="108" w:type="dxa"/>
              <w:right w:w="108" w:type="dxa"/>
            </w:tcMar>
            <w:vAlign w:val="center"/>
          </w:tcPr>
          <w:p>
            <w:pPr>
              <w:widowControl/>
              <w:jc w:val="left"/>
              <w:rPr>
                <w:color w:val="000000"/>
              </w:rPr>
            </w:pPr>
            <w:r>
              <w:rPr>
                <w:rFonts w:eastAsia="楷体" w:cs="楷体"/>
                <w:color w:val="000000"/>
                <w:kern w:val="0"/>
                <w:sz w:val="20"/>
              </w:rPr>
              <w:t>（本列数据的勾稽关系为：第一项加第二项之和，等于第三项加第四项之和）</w:t>
            </w:r>
          </w:p>
        </w:tc>
        <w:tc>
          <w:tcPr>
            <w:tcW w:w="4817" w:type="dxa"/>
            <w:gridSpan w:val="7"/>
            <w:tcMar>
              <w:left w:w="57" w:type="dxa"/>
              <w:right w:w="57" w:type="dxa"/>
            </w:tcMar>
            <w:vAlign w:val="center"/>
          </w:tcPr>
          <w:p>
            <w:pPr>
              <w:widowControl/>
              <w:jc w:val="center"/>
              <w:rPr>
                <w:color w:val="000000"/>
              </w:rPr>
            </w:pPr>
            <w:r>
              <w:rPr>
                <w:rFonts w:hint="eastAsia" w:eastAsia="宋体" w:cs="宋体"/>
                <w:color w:val="000000"/>
                <w:kern w:val="0"/>
                <w:sz w:val="20"/>
              </w:rPr>
              <w:t>申请人情况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1" w:type="dxa"/>
            <w:gridSpan w:val="3"/>
            <w:vMerge w:val="continue"/>
            <w:tcMar>
              <w:left w:w="108" w:type="dxa"/>
              <w:right w:w="108" w:type="dxa"/>
            </w:tcMar>
            <w:vAlign w:val="center"/>
          </w:tcPr>
          <w:p>
            <w:pPr>
              <w:rPr>
                <w:color w:val="000000"/>
                <w:sz w:val="24"/>
                <w:szCs w:val="24"/>
              </w:rPr>
            </w:pPr>
          </w:p>
        </w:tc>
        <w:tc>
          <w:tcPr>
            <w:tcW w:w="688" w:type="dxa"/>
            <w:vMerge w:val="restart"/>
            <w:tcMar>
              <w:left w:w="57" w:type="dxa"/>
              <w:right w:w="57" w:type="dxa"/>
            </w:tcMar>
            <w:vAlign w:val="center"/>
          </w:tcPr>
          <w:p>
            <w:pPr>
              <w:widowControl/>
              <w:jc w:val="center"/>
              <w:rPr>
                <w:color w:val="000000"/>
              </w:rPr>
            </w:pPr>
            <w:r>
              <w:rPr>
                <w:rFonts w:hint="eastAsia" w:eastAsia="宋体" w:cs="宋体"/>
                <w:color w:val="000000"/>
                <w:kern w:val="0"/>
                <w:sz w:val="20"/>
              </w:rPr>
              <w:t>自然人</w:t>
            </w:r>
          </w:p>
        </w:tc>
        <w:tc>
          <w:tcPr>
            <w:tcW w:w="3440" w:type="dxa"/>
            <w:gridSpan w:val="5"/>
            <w:tcMar>
              <w:left w:w="57" w:type="dxa"/>
              <w:right w:w="57" w:type="dxa"/>
            </w:tcMar>
            <w:vAlign w:val="center"/>
          </w:tcPr>
          <w:p>
            <w:pPr>
              <w:widowControl/>
              <w:jc w:val="center"/>
              <w:rPr>
                <w:color w:val="000000"/>
              </w:rPr>
            </w:pPr>
            <w:r>
              <w:rPr>
                <w:rFonts w:hint="eastAsia" w:eastAsia="宋体" w:cs="宋体"/>
                <w:color w:val="000000"/>
                <w:kern w:val="0"/>
                <w:sz w:val="20"/>
              </w:rPr>
              <w:t>法人或其他组织</w:t>
            </w:r>
          </w:p>
        </w:tc>
        <w:tc>
          <w:tcPr>
            <w:tcW w:w="689" w:type="dxa"/>
            <w:vMerge w:val="restart"/>
            <w:tcMar>
              <w:left w:w="57" w:type="dxa"/>
              <w:right w:w="57" w:type="dxa"/>
            </w:tcMar>
            <w:vAlign w:val="center"/>
          </w:tcPr>
          <w:p>
            <w:pPr>
              <w:widowControl/>
              <w:jc w:val="center"/>
              <w:rPr>
                <w:color w:val="000000"/>
              </w:rPr>
            </w:pPr>
            <w:r>
              <w:rPr>
                <w:rFonts w:hint="eastAsia" w:eastAsia="宋体" w:cs="宋体"/>
                <w:color w:val="000000"/>
                <w:kern w:val="0"/>
                <w:sz w:val="20"/>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1" w:type="dxa"/>
            <w:gridSpan w:val="3"/>
            <w:vMerge w:val="continue"/>
            <w:tcMar>
              <w:left w:w="108" w:type="dxa"/>
              <w:right w:w="108" w:type="dxa"/>
            </w:tcMar>
            <w:vAlign w:val="center"/>
          </w:tcPr>
          <w:p>
            <w:pPr>
              <w:rPr>
                <w:color w:val="000000"/>
                <w:sz w:val="24"/>
                <w:szCs w:val="24"/>
              </w:rPr>
            </w:pPr>
          </w:p>
        </w:tc>
        <w:tc>
          <w:tcPr>
            <w:tcW w:w="688" w:type="dxa"/>
            <w:vMerge w:val="continue"/>
            <w:tcMar>
              <w:left w:w="57" w:type="dxa"/>
              <w:right w:w="57" w:type="dxa"/>
            </w:tcMar>
            <w:vAlign w:val="center"/>
          </w:tcPr>
          <w:p>
            <w:pPr>
              <w:rPr>
                <w:color w:val="000000"/>
                <w:sz w:val="24"/>
                <w:szCs w:val="24"/>
              </w:rPr>
            </w:pPr>
          </w:p>
        </w:tc>
        <w:tc>
          <w:tcPr>
            <w:tcW w:w="688" w:type="dxa"/>
            <w:tcMar>
              <w:left w:w="57" w:type="dxa"/>
              <w:right w:w="57" w:type="dxa"/>
            </w:tcMar>
            <w:vAlign w:val="center"/>
          </w:tcPr>
          <w:p>
            <w:pPr>
              <w:widowControl/>
              <w:jc w:val="center"/>
              <w:rPr>
                <w:color w:val="000000"/>
              </w:rPr>
            </w:pPr>
            <w:r>
              <w:rPr>
                <w:rFonts w:hint="eastAsia" w:eastAsia="宋体" w:cs="宋体"/>
                <w:color w:val="000000"/>
                <w:kern w:val="0"/>
                <w:sz w:val="20"/>
              </w:rPr>
              <w:t>商业</w:t>
            </w:r>
          </w:p>
          <w:p>
            <w:pPr>
              <w:widowControl/>
              <w:jc w:val="center"/>
              <w:rPr>
                <w:color w:val="000000"/>
              </w:rPr>
            </w:pPr>
            <w:r>
              <w:rPr>
                <w:rFonts w:hint="eastAsia" w:eastAsia="宋体" w:cs="宋体"/>
                <w:color w:val="000000"/>
                <w:kern w:val="0"/>
                <w:sz w:val="20"/>
              </w:rPr>
              <w:t>企业</w:t>
            </w:r>
          </w:p>
        </w:tc>
        <w:tc>
          <w:tcPr>
            <w:tcW w:w="688" w:type="dxa"/>
            <w:tcMar>
              <w:left w:w="57" w:type="dxa"/>
              <w:right w:w="57" w:type="dxa"/>
            </w:tcMar>
            <w:vAlign w:val="center"/>
          </w:tcPr>
          <w:p>
            <w:pPr>
              <w:widowControl/>
              <w:jc w:val="center"/>
              <w:rPr>
                <w:color w:val="000000"/>
              </w:rPr>
            </w:pPr>
            <w:r>
              <w:rPr>
                <w:rFonts w:hint="eastAsia" w:eastAsia="宋体" w:cs="宋体"/>
                <w:color w:val="000000"/>
                <w:kern w:val="0"/>
                <w:sz w:val="20"/>
              </w:rPr>
              <w:t>科研</w:t>
            </w:r>
          </w:p>
          <w:p>
            <w:pPr>
              <w:widowControl/>
              <w:jc w:val="center"/>
              <w:rPr>
                <w:color w:val="000000"/>
              </w:rPr>
            </w:pPr>
            <w:r>
              <w:rPr>
                <w:rFonts w:hint="eastAsia" w:eastAsia="宋体" w:cs="宋体"/>
                <w:color w:val="000000"/>
                <w:kern w:val="0"/>
                <w:sz w:val="20"/>
              </w:rPr>
              <w:t>机构</w:t>
            </w:r>
          </w:p>
        </w:tc>
        <w:tc>
          <w:tcPr>
            <w:tcW w:w="688" w:type="dxa"/>
            <w:tcMar>
              <w:left w:w="57" w:type="dxa"/>
              <w:right w:w="57" w:type="dxa"/>
            </w:tcMar>
            <w:vAlign w:val="center"/>
          </w:tcPr>
          <w:p>
            <w:pPr>
              <w:widowControl/>
              <w:jc w:val="center"/>
              <w:rPr>
                <w:color w:val="000000"/>
              </w:rPr>
            </w:pPr>
            <w:r>
              <w:rPr>
                <w:rFonts w:hint="eastAsia" w:eastAsia="宋体" w:cs="宋体"/>
                <w:color w:val="000000"/>
                <w:kern w:val="0"/>
                <w:sz w:val="20"/>
              </w:rPr>
              <w:t>社会公益组织</w:t>
            </w:r>
          </w:p>
        </w:tc>
        <w:tc>
          <w:tcPr>
            <w:tcW w:w="688" w:type="dxa"/>
            <w:tcMar>
              <w:left w:w="57" w:type="dxa"/>
              <w:right w:w="57" w:type="dxa"/>
            </w:tcMar>
            <w:vAlign w:val="center"/>
          </w:tcPr>
          <w:p>
            <w:pPr>
              <w:widowControl/>
              <w:jc w:val="center"/>
              <w:rPr>
                <w:color w:val="000000"/>
              </w:rPr>
            </w:pPr>
            <w:r>
              <w:rPr>
                <w:rFonts w:hint="eastAsia" w:eastAsia="宋体" w:cs="宋体"/>
                <w:color w:val="000000"/>
                <w:kern w:val="0"/>
                <w:sz w:val="20"/>
              </w:rPr>
              <w:t>法律服务机构</w:t>
            </w:r>
          </w:p>
        </w:tc>
        <w:tc>
          <w:tcPr>
            <w:tcW w:w="688" w:type="dxa"/>
            <w:tcMar>
              <w:left w:w="57" w:type="dxa"/>
              <w:right w:w="57" w:type="dxa"/>
            </w:tcMar>
            <w:vAlign w:val="center"/>
          </w:tcPr>
          <w:p>
            <w:pPr>
              <w:widowControl/>
              <w:jc w:val="center"/>
              <w:rPr>
                <w:color w:val="000000"/>
              </w:rPr>
            </w:pPr>
            <w:r>
              <w:rPr>
                <w:rFonts w:hint="eastAsia" w:eastAsia="宋体" w:cs="宋体"/>
                <w:color w:val="000000"/>
                <w:kern w:val="0"/>
                <w:sz w:val="20"/>
              </w:rPr>
              <w:t>其他</w:t>
            </w:r>
          </w:p>
        </w:tc>
        <w:tc>
          <w:tcPr>
            <w:tcW w:w="689" w:type="dxa"/>
            <w:vMerge w:val="continue"/>
            <w:tcMar>
              <w:left w:w="57" w:type="dxa"/>
              <w:right w:w="57" w:type="dxa"/>
            </w:tcMar>
            <w:vAlign w:val="center"/>
          </w:tcPr>
          <w:p>
            <w:pPr>
              <w:rPr>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1" w:type="dxa"/>
            <w:gridSpan w:val="3"/>
            <w:tcMar>
              <w:left w:w="57" w:type="dxa"/>
              <w:right w:w="57" w:type="dxa"/>
            </w:tcMar>
            <w:vAlign w:val="center"/>
          </w:tcPr>
          <w:p>
            <w:pPr>
              <w:widowControl/>
              <w:jc w:val="left"/>
              <w:rPr>
                <w:color w:val="000000"/>
              </w:rPr>
            </w:pPr>
            <w:r>
              <w:rPr>
                <w:rFonts w:hint="eastAsia" w:eastAsia="宋体" w:cs="宋体"/>
                <w:color w:val="000000"/>
                <w:kern w:val="0"/>
                <w:sz w:val="20"/>
              </w:rPr>
              <w:t>一、本年新收政府信息公开申请数量</w:t>
            </w:r>
          </w:p>
        </w:tc>
        <w:tc>
          <w:tcPr>
            <w:tcW w:w="688" w:type="dxa"/>
            <w:tcMar>
              <w:left w:w="57" w:type="dxa"/>
              <w:right w:w="57" w:type="dxa"/>
            </w:tcMar>
            <w:vAlign w:val="center"/>
          </w:tcPr>
          <w:p>
            <w:pPr>
              <w:widowControl/>
              <w:jc w:val="center"/>
              <w:rPr>
                <w:color w:val="000000"/>
              </w:rPr>
            </w:pPr>
            <w:r>
              <w:rPr>
                <w:rFonts w:hint="eastAsia" w:eastAsia="等线" w:cs="Calibri"/>
                <w:color w:val="000000"/>
                <w:kern w:val="0"/>
                <w:sz w:val="20"/>
                <w:lang w:val="en-US" w:eastAsia="zh-CN"/>
              </w:rPr>
              <w:t>1</w:t>
            </w:r>
          </w:p>
        </w:tc>
        <w:tc>
          <w:tcPr>
            <w:tcW w:w="688" w:type="dxa"/>
            <w:tcMar>
              <w:left w:w="57" w:type="dxa"/>
              <w:right w:w="57" w:type="dxa"/>
            </w:tcMar>
            <w:vAlign w:val="center"/>
          </w:tcPr>
          <w:p>
            <w:pPr>
              <w:widowControl/>
              <w:jc w:val="center"/>
              <w:rPr>
                <w:color w:val="000000"/>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color w:val="000000"/>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eastAsia="等线"/>
                <w:color w:val="000000"/>
                <w:lang w:val="en-US" w:eastAsia="zh-CN"/>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eastAsia="等线"/>
                <w:color w:val="000000"/>
                <w:lang w:val="en-US" w:eastAsia="zh-CN"/>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eastAsia="等线"/>
                <w:color w:val="000000"/>
                <w:lang w:val="en-US" w:eastAsia="zh-CN"/>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color w:val="000000"/>
              </w:rPr>
            </w:pPr>
            <w:r>
              <w:rPr>
                <w:rFonts w:hint="eastAsia" w:eastAsia="等线" w:cs="Calibri"/>
                <w:color w:val="000000"/>
                <w:kern w:val="0"/>
                <w:sz w:val="20"/>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1" w:type="dxa"/>
            <w:gridSpan w:val="3"/>
            <w:tcMar>
              <w:left w:w="57" w:type="dxa"/>
              <w:right w:w="57" w:type="dxa"/>
            </w:tcMar>
            <w:vAlign w:val="center"/>
          </w:tcPr>
          <w:p>
            <w:pPr>
              <w:widowControl/>
              <w:jc w:val="left"/>
              <w:rPr>
                <w:color w:val="000000"/>
              </w:rPr>
            </w:pPr>
            <w:r>
              <w:rPr>
                <w:rFonts w:hint="eastAsia" w:eastAsia="宋体" w:cs="宋体"/>
                <w:color w:val="000000"/>
                <w:kern w:val="0"/>
                <w:sz w:val="20"/>
              </w:rPr>
              <w:t>二、上年结转政府信息公开申请数量</w:t>
            </w:r>
          </w:p>
        </w:tc>
        <w:tc>
          <w:tcPr>
            <w:tcW w:w="688" w:type="dxa"/>
            <w:tcMar>
              <w:left w:w="57" w:type="dxa"/>
              <w:right w:w="57" w:type="dxa"/>
            </w:tcMar>
            <w:vAlign w:val="center"/>
          </w:tcPr>
          <w:p>
            <w:pPr>
              <w:widowControl/>
              <w:jc w:val="center"/>
              <w:rPr>
                <w:color w:val="000000"/>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eastAsia="等线"/>
                <w:color w:val="000000"/>
                <w:lang w:val="en-US" w:eastAsia="zh-CN"/>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restart"/>
            <w:tcMar>
              <w:left w:w="57" w:type="dxa"/>
              <w:right w:w="57" w:type="dxa"/>
            </w:tcMar>
            <w:vAlign w:val="center"/>
          </w:tcPr>
          <w:p>
            <w:pPr>
              <w:widowControl/>
              <w:jc w:val="left"/>
              <w:rPr>
                <w:color w:val="000000"/>
              </w:rPr>
            </w:pPr>
            <w:r>
              <w:rPr>
                <w:rFonts w:hint="eastAsia" w:eastAsia="宋体" w:cs="宋体"/>
                <w:color w:val="000000"/>
                <w:kern w:val="0"/>
                <w:sz w:val="20"/>
              </w:rPr>
              <w:t>三、本年度办理结果</w:t>
            </w:r>
          </w:p>
        </w:tc>
        <w:tc>
          <w:tcPr>
            <w:tcW w:w="4164" w:type="dxa"/>
            <w:gridSpan w:val="2"/>
            <w:tcMar>
              <w:left w:w="57" w:type="dxa"/>
              <w:right w:w="57" w:type="dxa"/>
            </w:tcMar>
            <w:vAlign w:val="center"/>
          </w:tcPr>
          <w:p>
            <w:pPr>
              <w:widowControl/>
              <w:jc w:val="left"/>
              <w:rPr>
                <w:color w:val="000000"/>
              </w:rPr>
            </w:pPr>
            <w:r>
              <w:rPr>
                <w:rFonts w:hint="eastAsia" w:eastAsia="宋体" w:cs="宋体"/>
                <w:color w:val="000000"/>
                <w:kern w:val="0"/>
                <w:sz w:val="20"/>
              </w:rPr>
              <w:t>（一）予以公开</w:t>
            </w:r>
          </w:p>
        </w:tc>
        <w:tc>
          <w:tcPr>
            <w:tcW w:w="688" w:type="dxa"/>
            <w:tcMar>
              <w:left w:w="57" w:type="dxa"/>
              <w:right w:w="57" w:type="dxa"/>
            </w:tcMar>
            <w:vAlign w:val="center"/>
          </w:tcPr>
          <w:p>
            <w:pPr>
              <w:widowControl/>
              <w:jc w:val="center"/>
              <w:rPr>
                <w:rFonts w:hint="eastAsia" w:eastAsia="等线"/>
                <w:color w:val="000000"/>
                <w:lang w:val="en-US" w:eastAsia="zh-CN"/>
              </w:rPr>
            </w:pPr>
            <w:r>
              <w:rPr>
                <w:rFonts w:hint="eastAsia" w:eastAsia="等线" w:cs="Calibri"/>
                <w:color w:val="000000"/>
                <w:kern w:val="0"/>
                <w:sz w:val="20"/>
                <w:lang w:val="en-US" w:eastAsia="zh-CN"/>
              </w:rPr>
              <w:t>1</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eastAsia="等线"/>
                <w:color w:val="000000"/>
                <w:lang w:val="en-US" w:eastAsia="zh-CN"/>
              </w:rPr>
            </w:pPr>
            <w:r>
              <w:rPr>
                <w:rFonts w:hint="eastAsia" w:eastAsia="等线" w:cs="Calibri"/>
                <w:color w:val="000000"/>
                <w:kern w:val="0"/>
                <w:sz w:val="20"/>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4164" w:type="dxa"/>
            <w:gridSpan w:val="2"/>
            <w:tcMar>
              <w:left w:w="57" w:type="dxa"/>
              <w:right w:w="57" w:type="dxa"/>
            </w:tcMar>
            <w:vAlign w:val="center"/>
          </w:tcPr>
          <w:p>
            <w:pPr>
              <w:widowControl/>
              <w:jc w:val="left"/>
              <w:rPr>
                <w:color w:val="000000"/>
              </w:rPr>
            </w:pPr>
            <w:r>
              <w:rPr>
                <w:rFonts w:hint="eastAsia" w:eastAsia="宋体" w:cs="宋体"/>
                <w:color w:val="000000"/>
                <w:kern w:val="0"/>
                <w:sz w:val="20"/>
              </w:rPr>
              <w:t>（二）部分公开</w:t>
            </w:r>
            <w:r>
              <w:rPr>
                <w:rFonts w:eastAsia="楷体" w:cs="楷体"/>
                <w:color w:val="000000"/>
                <w:kern w:val="0"/>
                <w:sz w:val="20"/>
              </w:rPr>
              <w:t>（区分处理的，只计这一情形，不计其他情形）</w:t>
            </w:r>
          </w:p>
        </w:tc>
        <w:tc>
          <w:tcPr>
            <w:tcW w:w="688" w:type="dxa"/>
            <w:tcMar>
              <w:left w:w="57" w:type="dxa"/>
              <w:right w:w="57" w:type="dxa"/>
            </w:tcMar>
            <w:vAlign w:val="center"/>
          </w:tcPr>
          <w:p>
            <w:pPr>
              <w:widowControl/>
              <w:jc w:val="center"/>
              <w:rPr>
                <w:color w:val="000000"/>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eastAsia="等线"/>
                <w:color w:val="000000"/>
                <w:lang w:val="en-US" w:eastAsia="zh-CN"/>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restart"/>
            <w:tcMar>
              <w:left w:w="57" w:type="dxa"/>
              <w:right w:w="57" w:type="dxa"/>
            </w:tcMar>
            <w:vAlign w:val="center"/>
          </w:tcPr>
          <w:p>
            <w:pPr>
              <w:widowControl/>
              <w:jc w:val="left"/>
              <w:rPr>
                <w:color w:val="000000"/>
              </w:rPr>
            </w:pPr>
            <w:r>
              <w:rPr>
                <w:rFonts w:hint="eastAsia" w:eastAsia="宋体" w:cs="宋体"/>
                <w:color w:val="000000"/>
                <w:kern w:val="0"/>
                <w:sz w:val="20"/>
              </w:rPr>
              <w:t>（三）不予公开</w:t>
            </w: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1.属于国家秘密</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2.其他法律行政法规禁止公开</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3.危及“三安全一稳定”</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4.保护第三方合法权益</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5.属于三类内部事务信息</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6.属于四类过程性信息</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7.属于行政执法案卷</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8.属于行政查询事项</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restart"/>
            <w:tcMar>
              <w:left w:w="57" w:type="dxa"/>
              <w:right w:w="57" w:type="dxa"/>
            </w:tcMar>
            <w:vAlign w:val="center"/>
          </w:tcPr>
          <w:p>
            <w:pPr>
              <w:widowControl/>
              <w:jc w:val="left"/>
              <w:rPr>
                <w:color w:val="000000"/>
              </w:rPr>
            </w:pPr>
            <w:r>
              <w:rPr>
                <w:rFonts w:hint="eastAsia" w:eastAsia="宋体" w:cs="宋体"/>
                <w:color w:val="000000"/>
                <w:kern w:val="0"/>
                <w:sz w:val="20"/>
              </w:rPr>
              <w:t>（四）无法提供</w:t>
            </w: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1.本机关不掌握相关政府信息</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2.没有现成信息需要另行制作</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3.补正后申请内容仍不明确</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restart"/>
            <w:tcMar>
              <w:left w:w="57" w:type="dxa"/>
              <w:right w:w="57" w:type="dxa"/>
            </w:tcMar>
            <w:vAlign w:val="center"/>
          </w:tcPr>
          <w:p>
            <w:pPr>
              <w:widowControl/>
              <w:jc w:val="left"/>
              <w:rPr>
                <w:color w:val="000000"/>
              </w:rPr>
            </w:pPr>
            <w:r>
              <w:rPr>
                <w:rFonts w:hint="eastAsia" w:eastAsia="宋体" w:cs="宋体"/>
                <w:color w:val="000000"/>
                <w:kern w:val="0"/>
                <w:sz w:val="20"/>
              </w:rPr>
              <w:t>（五）不予处理</w:t>
            </w: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1.信访举报投诉类申请</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2.重复申请</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3.要求提供公开出版物</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top"/>
          </w:tcPr>
          <w:p>
            <w:pPr>
              <w:widowControl/>
              <w:jc w:val="left"/>
              <w:rPr>
                <w:color w:val="000000"/>
              </w:rPr>
            </w:pPr>
            <w:r>
              <w:rPr>
                <w:rFonts w:hint="eastAsia" w:eastAsia="宋体" w:cs="宋体"/>
                <w:color w:val="000000"/>
                <w:kern w:val="0"/>
                <w:sz w:val="20"/>
              </w:rPr>
              <w:t>4.无正当理由大量反复申请</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9" w:hRule="atLeast"/>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center"/>
          </w:tcPr>
          <w:p>
            <w:pPr>
              <w:widowControl/>
              <w:rPr>
                <w:color w:val="000000"/>
              </w:rPr>
            </w:pPr>
            <w:r>
              <w:rPr>
                <w:rFonts w:hint="eastAsia" w:eastAsia="宋体" w:cs="宋体"/>
                <w:color w:val="000000"/>
                <w:kern w:val="0"/>
                <w:sz w:val="20"/>
              </w:rPr>
              <w:t>5.要求行政机关确认或重新出具已获取信息</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restart"/>
            <w:tcMar>
              <w:left w:w="57" w:type="dxa"/>
              <w:right w:w="57" w:type="dxa"/>
            </w:tcMar>
            <w:vAlign w:val="center"/>
          </w:tcPr>
          <w:p>
            <w:pPr>
              <w:widowControl/>
              <w:jc w:val="left"/>
              <w:rPr>
                <w:color w:val="000000"/>
              </w:rPr>
            </w:pPr>
            <w:r>
              <w:rPr>
                <w:rFonts w:hint="eastAsia" w:eastAsia="宋体" w:cs="宋体"/>
                <w:color w:val="000000"/>
                <w:kern w:val="0"/>
                <w:sz w:val="20"/>
              </w:rPr>
              <w:t>（六）其他处理</w:t>
            </w:r>
          </w:p>
        </w:tc>
        <w:tc>
          <w:tcPr>
            <w:tcW w:w="3221" w:type="dxa"/>
            <w:tcMar>
              <w:left w:w="57" w:type="dxa"/>
              <w:right w:w="57" w:type="dxa"/>
            </w:tcMar>
            <w:vAlign w:val="center"/>
          </w:tcPr>
          <w:p>
            <w:pPr>
              <w:widowControl/>
              <w:rPr>
                <w:color w:val="000000"/>
              </w:rPr>
            </w:pPr>
            <w:r>
              <w:rPr>
                <w:rFonts w:hint="eastAsia" w:eastAsia="宋体" w:cs="宋体"/>
                <w:color w:val="000000"/>
                <w:kern w:val="0"/>
                <w:sz w:val="20"/>
              </w:rPr>
              <w:t>1.申请人无正当理由逾期不补正、行政机关不再处理其政府信息公开申请</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center"/>
          </w:tcPr>
          <w:p>
            <w:pPr>
              <w:widowControl/>
              <w:rPr>
                <w:color w:val="000000"/>
              </w:rPr>
            </w:pPr>
            <w:r>
              <w:rPr>
                <w:rFonts w:hint="eastAsia" w:eastAsia="宋体" w:cs="宋体"/>
                <w:color w:val="000000"/>
                <w:kern w:val="0"/>
                <w:sz w:val="20"/>
              </w:rPr>
              <w:t>2.申请人逾期未按收费通知要求缴纳费用、行政机关不再处理其政府信息公开申请</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943" w:type="dxa"/>
            <w:vMerge w:val="continue"/>
            <w:tcMar>
              <w:left w:w="57" w:type="dxa"/>
              <w:right w:w="57" w:type="dxa"/>
            </w:tcMar>
            <w:vAlign w:val="center"/>
          </w:tcPr>
          <w:p>
            <w:pPr>
              <w:rPr>
                <w:color w:val="000000"/>
                <w:sz w:val="24"/>
                <w:szCs w:val="24"/>
              </w:rPr>
            </w:pPr>
          </w:p>
        </w:tc>
        <w:tc>
          <w:tcPr>
            <w:tcW w:w="3221" w:type="dxa"/>
            <w:tcMar>
              <w:left w:w="57" w:type="dxa"/>
              <w:right w:w="57" w:type="dxa"/>
            </w:tcMar>
            <w:vAlign w:val="center"/>
          </w:tcPr>
          <w:p>
            <w:pPr>
              <w:widowControl/>
              <w:jc w:val="left"/>
              <w:rPr>
                <w:color w:val="000000"/>
              </w:rPr>
            </w:pPr>
            <w:r>
              <w:rPr>
                <w:rFonts w:hint="eastAsia" w:eastAsia="宋体" w:cs="宋体"/>
                <w:color w:val="000000"/>
                <w:kern w:val="0"/>
                <w:sz w:val="20"/>
              </w:rPr>
              <w:t>3.其他</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67" w:type="dxa"/>
            <w:vMerge w:val="continue"/>
            <w:tcMar>
              <w:left w:w="57" w:type="dxa"/>
              <w:right w:w="57" w:type="dxa"/>
            </w:tcMar>
            <w:vAlign w:val="center"/>
          </w:tcPr>
          <w:p>
            <w:pPr>
              <w:rPr>
                <w:color w:val="000000"/>
                <w:sz w:val="24"/>
                <w:szCs w:val="24"/>
              </w:rPr>
            </w:pPr>
          </w:p>
        </w:tc>
        <w:tc>
          <w:tcPr>
            <w:tcW w:w="4164" w:type="dxa"/>
            <w:gridSpan w:val="2"/>
            <w:tcMar>
              <w:left w:w="57" w:type="dxa"/>
              <w:right w:w="57" w:type="dxa"/>
            </w:tcMar>
            <w:vAlign w:val="center"/>
          </w:tcPr>
          <w:p>
            <w:pPr>
              <w:widowControl/>
              <w:jc w:val="left"/>
              <w:rPr>
                <w:color w:val="000000"/>
              </w:rPr>
            </w:pPr>
            <w:r>
              <w:rPr>
                <w:rFonts w:hint="eastAsia" w:eastAsia="宋体" w:cs="宋体"/>
                <w:color w:val="000000"/>
                <w:kern w:val="0"/>
                <w:sz w:val="20"/>
              </w:rPr>
              <w:t>（七）总计</w:t>
            </w:r>
          </w:p>
        </w:tc>
        <w:tc>
          <w:tcPr>
            <w:tcW w:w="688" w:type="dxa"/>
            <w:tcMar>
              <w:left w:w="57" w:type="dxa"/>
              <w:right w:w="57" w:type="dxa"/>
            </w:tcMar>
            <w:vAlign w:val="center"/>
          </w:tcPr>
          <w:p>
            <w:pPr>
              <w:widowControl/>
              <w:jc w:val="center"/>
              <w:rPr>
                <w:color w:val="000000"/>
              </w:rPr>
            </w:pPr>
            <w:r>
              <w:rPr>
                <w:rFonts w:hint="eastAsia" w:eastAsia="等线" w:cs="Calibri"/>
                <w:color w:val="000000"/>
                <w:kern w:val="0"/>
                <w:sz w:val="20"/>
                <w:lang w:val="en-US" w:eastAsia="zh-CN"/>
              </w:rPr>
              <w:t>1</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color w:val="000000"/>
              </w:rPr>
            </w:pPr>
            <w:r>
              <w:rPr>
                <w:rFonts w:hint="eastAsia" w:eastAsia="等线" w:cs="Calibri"/>
                <w:color w:val="000000"/>
                <w:kern w:val="0"/>
                <w:sz w:val="20"/>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931" w:type="dxa"/>
            <w:gridSpan w:val="3"/>
            <w:tcMar>
              <w:left w:w="57" w:type="dxa"/>
              <w:right w:w="57" w:type="dxa"/>
            </w:tcMar>
            <w:vAlign w:val="center"/>
          </w:tcPr>
          <w:p>
            <w:pPr>
              <w:widowControl/>
              <w:jc w:val="left"/>
              <w:rPr>
                <w:color w:val="000000"/>
              </w:rPr>
            </w:pPr>
            <w:r>
              <w:rPr>
                <w:rFonts w:hint="eastAsia" w:eastAsia="宋体" w:cs="宋体"/>
                <w:color w:val="000000"/>
                <w:kern w:val="0"/>
                <w:sz w:val="20"/>
              </w:rPr>
              <w:t>四、结转下年度继续办理</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ascii="Times New Roman" w:hAnsi="Times New Roman" w:eastAsia="方正仿宋_GBK"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8"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c>
          <w:tcPr>
            <w:tcW w:w="689" w:type="dxa"/>
            <w:tcMar>
              <w:left w:w="57" w:type="dxa"/>
              <w:right w:w="57" w:type="dxa"/>
            </w:tcMar>
            <w:vAlign w:val="center"/>
          </w:tcPr>
          <w:p>
            <w:pPr>
              <w:widowControl/>
              <w:jc w:val="center"/>
              <w:rPr>
                <w:rFonts w:hint="eastAsia" w:ascii="Times New Roman" w:hAnsi="Times New Roman" w:eastAsia="等线" w:cs="Times New Roman"/>
                <w:color w:val="000000"/>
                <w:kern w:val="2"/>
                <w:sz w:val="32"/>
                <w:lang w:val="en-US" w:eastAsia="zh-CN" w:bidi="ar-SA"/>
              </w:rPr>
            </w:pPr>
            <w:r>
              <w:rPr>
                <w:rFonts w:hint="eastAsia" w:eastAsia="等线" w:cs="Calibri"/>
                <w:color w:val="000000"/>
                <w:kern w:val="0"/>
                <w:sz w:val="20"/>
                <w:lang w:val="en-US" w:eastAsia="zh-CN"/>
              </w:rPr>
              <w:t>0</w:t>
            </w:r>
          </w:p>
        </w:tc>
      </w:tr>
    </w:tbl>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方正黑体_GBK" w:hAnsi="方正黑体_GBK" w:eastAsia="方正黑体_GBK" w:cs="方正黑体_GBK"/>
          <w:color w:val="000000"/>
          <w:szCs w:val="32"/>
        </w:rPr>
      </w:pPr>
      <w:r>
        <w:rPr>
          <w:rFonts w:hint="eastAsia" w:ascii="方正黑体_GBK" w:hAnsi="方正黑体_GBK" w:eastAsia="方正黑体_GBK" w:cs="方正黑体_GBK"/>
          <w:color w:val="000000"/>
          <w:szCs w:val="32"/>
        </w:rPr>
        <w:t>四、政府信息公开行政复议、行政诉讼情况</w:t>
      </w:r>
    </w:p>
    <w:tbl>
      <w:tblPr>
        <w:tblStyle w:val="4"/>
        <w:tblW w:w="9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49"/>
        <w:gridCol w:w="649"/>
        <w:gridCol w:w="649"/>
        <w:gridCol w:w="649"/>
        <w:gridCol w:w="649"/>
        <w:gridCol w:w="649"/>
        <w:gridCol w:w="649"/>
        <w:gridCol w:w="650"/>
        <w:gridCol w:w="650"/>
        <w:gridCol w:w="650"/>
        <w:gridCol w:w="651"/>
        <w:gridCol w:w="651"/>
        <w:gridCol w:w="651"/>
        <w:gridCol w:w="651"/>
        <w:gridCol w:w="6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3245" w:type="dxa"/>
            <w:gridSpan w:val="5"/>
            <w:tcMar>
              <w:left w:w="108" w:type="dxa"/>
              <w:right w:w="108" w:type="dxa"/>
            </w:tcMar>
            <w:vAlign w:val="center"/>
          </w:tcPr>
          <w:p>
            <w:pPr>
              <w:widowControl/>
              <w:jc w:val="center"/>
              <w:rPr>
                <w:color w:val="000000"/>
              </w:rPr>
            </w:pPr>
            <w:r>
              <w:rPr>
                <w:rFonts w:hint="eastAsia" w:eastAsia="宋体" w:cs="宋体"/>
                <w:color w:val="000000"/>
                <w:kern w:val="0"/>
                <w:sz w:val="20"/>
              </w:rPr>
              <w:t>行政复议</w:t>
            </w:r>
          </w:p>
        </w:tc>
        <w:tc>
          <w:tcPr>
            <w:tcW w:w="6503" w:type="dxa"/>
            <w:gridSpan w:val="10"/>
            <w:tcMar>
              <w:left w:w="108" w:type="dxa"/>
              <w:right w:w="108" w:type="dxa"/>
            </w:tcMar>
            <w:vAlign w:val="center"/>
          </w:tcPr>
          <w:p>
            <w:pPr>
              <w:widowControl/>
              <w:jc w:val="center"/>
              <w:rPr>
                <w:color w:val="000000"/>
              </w:rPr>
            </w:pPr>
            <w:r>
              <w:rPr>
                <w:rFonts w:hint="eastAsia" w:eastAsia="宋体" w:cs="宋体"/>
                <w:color w:val="000000"/>
                <w:kern w:val="0"/>
                <w:sz w:val="20"/>
              </w:rPr>
              <w:t>行政诉讼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49" w:type="dxa"/>
            <w:vMerge w:val="restart"/>
            <w:tcMar>
              <w:left w:w="108" w:type="dxa"/>
              <w:right w:w="108" w:type="dxa"/>
            </w:tcMar>
            <w:vAlign w:val="center"/>
          </w:tcPr>
          <w:p>
            <w:pPr>
              <w:widowControl/>
              <w:jc w:val="center"/>
              <w:rPr>
                <w:color w:val="000000"/>
              </w:rPr>
            </w:pPr>
            <w:r>
              <w:rPr>
                <w:rFonts w:hint="eastAsia" w:eastAsia="宋体" w:cs="宋体"/>
                <w:color w:val="000000"/>
                <w:kern w:val="0"/>
                <w:sz w:val="20"/>
              </w:rPr>
              <w:t>结果维持</w:t>
            </w:r>
          </w:p>
        </w:tc>
        <w:tc>
          <w:tcPr>
            <w:tcW w:w="649" w:type="dxa"/>
            <w:vMerge w:val="restart"/>
            <w:tcMar>
              <w:left w:w="108" w:type="dxa"/>
              <w:right w:w="108" w:type="dxa"/>
            </w:tcMar>
            <w:vAlign w:val="center"/>
          </w:tcPr>
          <w:p>
            <w:pPr>
              <w:widowControl/>
              <w:jc w:val="center"/>
              <w:rPr>
                <w:color w:val="000000"/>
              </w:rPr>
            </w:pPr>
            <w:r>
              <w:rPr>
                <w:rFonts w:hint="eastAsia" w:eastAsia="宋体" w:cs="宋体"/>
                <w:color w:val="000000"/>
                <w:kern w:val="0"/>
                <w:sz w:val="20"/>
              </w:rPr>
              <w:t>结果</w:t>
            </w:r>
            <w:r>
              <w:rPr>
                <w:rFonts w:hint="eastAsia" w:eastAsia="宋体" w:cs="宋体"/>
                <w:color w:val="000000"/>
                <w:kern w:val="0"/>
                <w:sz w:val="20"/>
              </w:rPr>
              <w:br w:type="textWrapping"/>
            </w:r>
            <w:r>
              <w:rPr>
                <w:rFonts w:hint="eastAsia" w:eastAsia="宋体" w:cs="宋体"/>
                <w:color w:val="000000"/>
                <w:kern w:val="0"/>
                <w:sz w:val="20"/>
              </w:rPr>
              <w:t>纠正</w:t>
            </w:r>
          </w:p>
        </w:tc>
        <w:tc>
          <w:tcPr>
            <w:tcW w:w="649" w:type="dxa"/>
            <w:vMerge w:val="restart"/>
            <w:tcMar>
              <w:left w:w="108" w:type="dxa"/>
              <w:right w:w="108" w:type="dxa"/>
            </w:tcMar>
            <w:vAlign w:val="center"/>
          </w:tcPr>
          <w:p>
            <w:pPr>
              <w:widowControl/>
              <w:jc w:val="center"/>
              <w:rPr>
                <w:color w:val="000000"/>
              </w:rPr>
            </w:pPr>
            <w:r>
              <w:rPr>
                <w:rFonts w:hint="eastAsia" w:eastAsia="宋体" w:cs="宋体"/>
                <w:color w:val="000000"/>
                <w:kern w:val="0"/>
                <w:sz w:val="20"/>
              </w:rPr>
              <w:t>其他</w:t>
            </w:r>
            <w:r>
              <w:rPr>
                <w:rFonts w:hint="eastAsia" w:eastAsia="宋体" w:cs="宋体"/>
                <w:color w:val="000000"/>
                <w:kern w:val="0"/>
                <w:sz w:val="20"/>
              </w:rPr>
              <w:br w:type="textWrapping"/>
            </w:r>
            <w:r>
              <w:rPr>
                <w:rFonts w:hint="eastAsia" w:eastAsia="宋体" w:cs="宋体"/>
                <w:color w:val="000000"/>
                <w:kern w:val="0"/>
                <w:sz w:val="20"/>
              </w:rPr>
              <w:t>结果</w:t>
            </w:r>
          </w:p>
        </w:tc>
        <w:tc>
          <w:tcPr>
            <w:tcW w:w="649" w:type="dxa"/>
            <w:vMerge w:val="restart"/>
            <w:tcMar>
              <w:left w:w="108" w:type="dxa"/>
              <w:right w:w="108" w:type="dxa"/>
            </w:tcMar>
            <w:vAlign w:val="center"/>
          </w:tcPr>
          <w:p>
            <w:pPr>
              <w:widowControl/>
              <w:jc w:val="center"/>
              <w:rPr>
                <w:color w:val="000000"/>
              </w:rPr>
            </w:pPr>
            <w:r>
              <w:rPr>
                <w:rFonts w:hint="eastAsia" w:eastAsia="宋体" w:cs="宋体"/>
                <w:color w:val="000000"/>
                <w:kern w:val="0"/>
                <w:sz w:val="20"/>
              </w:rPr>
              <w:t>尚未</w:t>
            </w:r>
            <w:r>
              <w:rPr>
                <w:rFonts w:hint="eastAsia" w:eastAsia="宋体" w:cs="宋体"/>
                <w:color w:val="000000"/>
                <w:kern w:val="0"/>
                <w:sz w:val="20"/>
              </w:rPr>
              <w:br w:type="textWrapping"/>
            </w:r>
            <w:r>
              <w:rPr>
                <w:rFonts w:hint="eastAsia" w:eastAsia="宋体" w:cs="宋体"/>
                <w:color w:val="000000"/>
                <w:kern w:val="0"/>
                <w:sz w:val="20"/>
              </w:rPr>
              <w:t>审结</w:t>
            </w:r>
          </w:p>
        </w:tc>
        <w:tc>
          <w:tcPr>
            <w:tcW w:w="649" w:type="dxa"/>
            <w:vMerge w:val="restart"/>
            <w:tcMar>
              <w:left w:w="108" w:type="dxa"/>
              <w:right w:w="108" w:type="dxa"/>
            </w:tcMar>
            <w:vAlign w:val="center"/>
          </w:tcPr>
          <w:p>
            <w:pPr>
              <w:widowControl/>
              <w:jc w:val="center"/>
              <w:rPr>
                <w:color w:val="000000"/>
              </w:rPr>
            </w:pPr>
            <w:r>
              <w:rPr>
                <w:rFonts w:hint="eastAsia" w:eastAsia="宋体" w:cs="宋体"/>
                <w:color w:val="000000"/>
                <w:kern w:val="0"/>
                <w:sz w:val="20"/>
              </w:rPr>
              <w:t>总计</w:t>
            </w:r>
          </w:p>
        </w:tc>
        <w:tc>
          <w:tcPr>
            <w:tcW w:w="3248" w:type="dxa"/>
            <w:gridSpan w:val="5"/>
            <w:tcMar>
              <w:left w:w="108" w:type="dxa"/>
              <w:right w:w="108" w:type="dxa"/>
            </w:tcMar>
            <w:vAlign w:val="center"/>
          </w:tcPr>
          <w:p>
            <w:pPr>
              <w:widowControl/>
              <w:jc w:val="center"/>
              <w:rPr>
                <w:color w:val="000000"/>
              </w:rPr>
            </w:pPr>
            <w:r>
              <w:rPr>
                <w:rFonts w:hint="eastAsia" w:eastAsia="宋体" w:cs="宋体"/>
                <w:color w:val="000000"/>
                <w:kern w:val="0"/>
                <w:sz w:val="20"/>
              </w:rPr>
              <w:t>未经复议直接起诉</w:t>
            </w:r>
          </w:p>
        </w:tc>
        <w:tc>
          <w:tcPr>
            <w:tcW w:w="3255" w:type="dxa"/>
            <w:gridSpan w:val="5"/>
            <w:tcMar>
              <w:left w:w="108" w:type="dxa"/>
              <w:right w:w="108" w:type="dxa"/>
            </w:tcMar>
            <w:vAlign w:val="center"/>
          </w:tcPr>
          <w:p>
            <w:pPr>
              <w:widowControl/>
              <w:jc w:val="center"/>
              <w:rPr>
                <w:color w:val="000000"/>
              </w:rPr>
            </w:pPr>
            <w:r>
              <w:rPr>
                <w:rFonts w:hint="eastAsia" w:eastAsia="宋体" w:cs="宋体"/>
                <w:color w:val="000000"/>
                <w:kern w:val="0"/>
                <w:sz w:val="20"/>
              </w:rPr>
              <w:t>复议后起诉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49" w:type="dxa"/>
            <w:vMerge w:val="continue"/>
            <w:tcMar>
              <w:left w:w="108" w:type="dxa"/>
              <w:right w:w="108" w:type="dxa"/>
            </w:tcMar>
            <w:vAlign w:val="center"/>
          </w:tcPr>
          <w:p>
            <w:pPr>
              <w:rPr>
                <w:color w:val="000000"/>
                <w:sz w:val="24"/>
                <w:szCs w:val="24"/>
              </w:rPr>
            </w:pPr>
          </w:p>
        </w:tc>
        <w:tc>
          <w:tcPr>
            <w:tcW w:w="649" w:type="dxa"/>
            <w:vMerge w:val="continue"/>
            <w:tcMar>
              <w:left w:w="108" w:type="dxa"/>
              <w:right w:w="108" w:type="dxa"/>
            </w:tcMar>
            <w:vAlign w:val="center"/>
          </w:tcPr>
          <w:p>
            <w:pPr>
              <w:rPr>
                <w:color w:val="000000"/>
                <w:sz w:val="24"/>
                <w:szCs w:val="24"/>
              </w:rPr>
            </w:pPr>
          </w:p>
        </w:tc>
        <w:tc>
          <w:tcPr>
            <w:tcW w:w="649" w:type="dxa"/>
            <w:vMerge w:val="continue"/>
            <w:tcMar>
              <w:left w:w="108" w:type="dxa"/>
              <w:right w:w="108" w:type="dxa"/>
            </w:tcMar>
            <w:vAlign w:val="center"/>
          </w:tcPr>
          <w:p>
            <w:pPr>
              <w:rPr>
                <w:color w:val="000000"/>
                <w:sz w:val="24"/>
                <w:szCs w:val="24"/>
              </w:rPr>
            </w:pPr>
          </w:p>
        </w:tc>
        <w:tc>
          <w:tcPr>
            <w:tcW w:w="649" w:type="dxa"/>
            <w:vMerge w:val="continue"/>
            <w:tcMar>
              <w:left w:w="108" w:type="dxa"/>
              <w:right w:w="108" w:type="dxa"/>
            </w:tcMar>
            <w:vAlign w:val="center"/>
          </w:tcPr>
          <w:p>
            <w:pPr>
              <w:rPr>
                <w:color w:val="000000"/>
                <w:sz w:val="24"/>
                <w:szCs w:val="24"/>
              </w:rPr>
            </w:pPr>
          </w:p>
        </w:tc>
        <w:tc>
          <w:tcPr>
            <w:tcW w:w="649" w:type="dxa"/>
            <w:vMerge w:val="continue"/>
            <w:tcMar>
              <w:left w:w="108" w:type="dxa"/>
              <w:right w:w="108" w:type="dxa"/>
            </w:tcMar>
            <w:vAlign w:val="center"/>
          </w:tcPr>
          <w:p>
            <w:pPr>
              <w:rPr>
                <w:color w:val="000000"/>
                <w:sz w:val="24"/>
                <w:szCs w:val="24"/>
              </w:rPr>
            </w:pPr>
          </w:p>
        </w:tc>
        <w:tc>
          <w:tcPr>
            <w:tcW w:w="649" w:type="dxa"/>
            <w:tcMar>
              <w:left w:w="108" w:type="dxa"/>
              <w:right w:w="108" w:type="dxa"/>
            </w:tcMar>
            <w:vAlign w:val="center"/>
          </w:tcPr>
          <w:p>
            <w:pPr>
              <w:widowControl/>
              <w:jc w:val="center"/>
              <w:rPr>
                <w:color w:val="000000"/>
              </w:rPr>
            </w:pPr>
            <w:r>
              <w:rPr>
                <w:rFonts w:hint="eastAsia" w:eastAsia="宋体" w:cs="宋体"/>
                <w:color w:val="000000"/>
                <w:kern w:val="0"/>
                <w:sz w:val="20"/>
              </w:rPr>
              <w:t>结果</w:t>
            </w:r>
            <w:r>
              <w:rPr>
                <w:rFonts w:hint="eastAsia" w:eastAsia="宋体" w:cs="宋体"/>
                <w:color w:val="000000"/>
                <w:kern w:val="0"/>
                <w:sz w:val="20"/>
              </w:rPr>
              <w:br w:type="textWrapping"/>
            </w:r>
            <w:r>
              <w:rPr>
                <w:rFonts w:hint="eastAsia" w:eastAsia="宋体" w:cs="宋体"/>
                <w:color w:val="000000"/>
                <w:kern w:val="0"/>
                <w:sz w:val="20"/>
              </w:rPr>
              <w:t>维持</w:t>
            </w:r>
          </w:p>
        </w:tc>
        <w:tc>
          <w:tcPr>
            <w:tcW w:w="649" w:type="dxa"/>
            <w:tcMar>
              <w:left w:w="108" w:type="dxa"/>
              <w:right w:w="108" w:type="dxa"/>
            </w:tcMar>
            <w:vAlign w:val="center"/>
          </w:tcPr>
          <w:p>
            <w:pPr>
              <w:widowControl/>
              <w:jc w:val="center"/>
              <w:rPr>
                <w:color w:val="000000"/>
              </w:rPr>
            </w:pPr>
            <w:r>
              <w:rPr>
                <w:rFonts w:hint="eastAsia" w:eastAsia="宋体" w:cs="宋体"/>
                <w:color w:val="000000"/>
                <w:kern w:val="0"/>
                <w:sz w:val="20"/>
              </w:rPr>
              <w:t>结果</w:t>
            </w:r>
            <w:r>
              <w:rPr>
                <w:rFonts w:hint="eastAsia" w:eastAsia="宋体" w:cs="宋体"/>
                <w:color w:val="000000"/>
                <w:kern w:val="0"/>
                <w:sz w:val="20"/>
              </w:rPr>
              <w:br w:type="textWrapping"/>
            </w:r>
            <w:r>
              <w:rPr>
                <w:rFonts w:hint="eastAsia" w:eastAsia="宋体" w:cs="宋体"/>
                <w:color w:val="000000"/>
                <w:kern w:val="0"/>
                <w:sz w:val="20"/>
              </w:rPr>
              <w:t>纠正</w:t>
            </w:r>
          </w:p>
        </w:tc>
        <w:tc>
          <w:tcPr>
            <w:tcW w:w="650" w:type="dxa"/>
            <w:tcMar>
              <w:left w:w="108" w:type="dxa"/>
              <w:right w:w="108" w:type="dxa"/>
            </w:tcMar>
            <w:vAlign w:val="center"/>
          </w:tcPr>
          <w:p>
            <w:pPr>
              <w:widowControl/>
              <w:jc w:val="center"/>
              <w:rPr>
                <w:color w:val="000000"/>
              </w:rPr>
            </w:pPr>
            <w:r>
              <w:rPr>
                <w:rFonts w:hint="eastAsia" w:eastAsia="宋体" w:cs="宋体"/>
                <w:color w:val="000000"/>
                <w:kern w:val="0"/>
                <w:sz w:val="20"/>
              </w:rPr>
              <w:t>其他</w:t>
            </w:r>
            <w:r>
              <w:rPr>
                <w:rFonts w:hint="eastAsia" w:eastAsia="宋体" w:cs="宋体"/>
                <w:color w:val="000000"/>
                <w:kern w:val="0"/>
                <w:sz w:val="20"/>
              </w:rPr>
              <w:br w:type="textWrapping"/>
            </w:r>
            <w:r>
              <w:rPr>
                <w:rFonts w:hint="eastAsia" w:eastAsia="宋体" w:cs="宋体"/>
                <w:color w:val="000000"/>
                <w:kern w:val="0"/>
                <w:sz w:val="20"/>
              </w:rPr>
              <w:t>结果</w:t>
            </w:r>
          </w:p>
        </w:tc>
        <w:tc>
          <w:tcPr>
            <w:tcW w:w="650" w:type="dxa"/>
            <w:tcMar>
              <w:left w:w="108" w:type="dxa"/>
              <w:right w:w="108" w:type="dxa"/>
            </w:tcMar>
            <w:vAlign w:val="center"/>
          </w:tcPr>
          <w:p>
            <w:pPr>
              <w:widowControl/>
              <w:jc w:val="center"/>
              <w:rPr>
                <w:color w:val="000000"/>
              </w:rPr>
            </w:pPr>
            <w:r>
              <w:rPr>
                <w:rFonts w:hint="eastAsia" w:eastAsia="宋体" w:cs="宋体"/>
                <w:color w:val="000000"/>
                <w:kern w:val="0"/>
                <w:sz w:val="20"/>
              </w:rPr>
              <w:t>尚未</w:t>
            </w:r>
            <w:r>
              <w:rPr>
                <w:rFonts w:hint="eastAsia" w:eastAsia="宋体" w:cs="宋体"/>
                <w:color w:val="000000"/>
                <w:kern w:val="0"/>
                <w:sz w:val="20"/>
              </w:rPr>
              <w:br w:type="textWrapping"/>
            </w:r>
            <w:r>
              <w:rPr>
                <w:rFonts w:hint="eastAsia" w:eastAsia="宋体" w:cs="宋体"/>
                <w:color w:val="000000"/>
                <w:kern w:val="0"/>
                <w:sz w:val="20"/>
              </w:rPr>
              <w:t>审结</w:t>
            </w:r>
          </w:p>
        </w:tc>
        <w:tc>
          <w:tcPr>
            <w:tcW w:w="650" w:type="dxa"/>
            <w:tcMar>
              <w:left w:w="108" w:type="dxa"/>
              <w:right w:w="108" w:type="dxa"/>
            </w:tcMar>
            <w:vAlign w:val="center"/>
          </w:tcPr>
          <w:p>
            <w:pPr>
              <w:widowControl/>
              <w:jc w:val="center"/>
              <w:rPr>
                <w:color w:val="000000"/>
              </w:rPr>
            </w:pPr>
            <w:r>
              <w:rPr>
                <w:rFonts w:hint="eastAsia" w:eastAsia="宋体" w:cs="宋体"/>
                <w:color w:val="000000"/>
                <w:kern w:val="0"/>
                <w:sz w:val="20"/>
              </w:rPr>
              <w:t>总计</w:t>
            </w:r>
          </w:p>
        </w:tc>
        <w:tc>
          <w:tcPr>
            <w:tcW w:w="651" w:type="dxa"/>
            <w:tcMar>
              <w:left w:w="108" w:type="dxa"/>
              <w:right w:w="108" w:type="dxa"/>
            </w:tcMar>
            <w:vAlign w:val="center"/>
          </w:tcPr>
          <w:p>
            <w:pPr>
              <w:widowControl/>
              <w:jc w:val="center"/>
              <w:rPr>
                <w:color w:val="000000"/>
              </w:rPr>
            </w:pPr>
            <w:r>
              <w:rPr>
                <w:rFonts w:hint="eastAsia" w:eastAsia="宋体" w:cs="宋体"/>
                <w:color w:val="000000"/>
                <w:kern w:val="0"/>
                <w:sz w:val="20"/>
              </w:rPr>
              <w:t>结果</w:t>
            </w:r>
            <w:r>
              <w:rPr>
                <w:rFonts w:hint="eastAsia" w:eastAsia="宋体" w:cs="宋体"/>
                <w:color w:val="000000"/>
                <w:kern w:val="0"/>
                <w:sz w:val="20"/>
              </w:rPr>
              <w:br w:type="textWrapping"/>
            </w:r>
            <w:r>
              <w:rPr>
                <w:rFonts w:hint="eastAsia" w:eastAsia="宋体" w:cs="宋体"/>
                <w:color w:val="000000"/>
                <w:kern w:val="0"/>
                <w:sz w:val="20"/>
              </w:rPr>
              <w:t>维持</w:t>
            </w:r>
          </w:p>
        </w:tc>
        <w:tc>
          <w:tcPr>
            <w:tcW w:w="651" w:type="dxa"/>
            <w:tcMar>
              <w:left w:w="108" w:type="dxa"/>
              <w:right w:w="108" w:type="dxa"/>
            </w:tcMar>
            <w:vAlign w:val="center"/>
          </w:tcPr>
          <w:p>
            <w:pPr>
              <w:widowControl/>
              <w:jc w:val="center"/>
              <w:rPr>
                <w:color w:val="000000"/>
              </w:rPr>
            </w:pPr>
            <w:r>
              <w:rPr>
                <w:rFonts w:hint="eastAsia" w:eastAsia="宋体" w:cs="宋体"/>
                <w:color w:val="000000"/>
                <w:kern w:val="0"/>
                <w:sz w:val="20"/>
              </w:rPr>
              <w:t>结果</w:t>
            </w:r>
            <w:r>
              <w:rPr>
                <w:rFonts w:hint="eastAsia" w:eastAsia="宋体" w:cs="宋体"/>
                <w:color w:val="000000"/>
                <w:kern w:val="0"/>
                <w:sz w:val="20"/>
              </w:rPr>
              <w:br w:type="textWrapping"/>
            </w:r>
            <w:r>
              <w:rPr>
                <w:rFonts w:hint="eastAsia" w:eastAsia="宋体" w:cs="宋体"/>
                <w:color w:val="000000"/>
                <w:kern w:val="0"/>
                <w:sz w:val="20"/>
              </w:rPr>
              <w:t>纠正</w:t>
            </w:r>
          </w:p>
        </w:tc>
        <w:tc>
          <w:tcPr>
            <w:tcW w:w="651" w:type="dxa"/>
            <w:tcMar>
              <w:left w:w="108" w:type="dxa"/>
              <w:right w:w="108" w:type="dxa"/>
            </w:tcMar>
            <w:vAlign w:val="center"/>
          </w:tcPr>
          <w:p>
            <w:pPr>
              <w:widowControl/>
              <w:jc w:val="center"/>
              <w:rPr>
                <w:color w:val="000000"/>
              </w:rPr>
            </w:pPr>
            <w:r>
              <w:rPr>
                <w:rFonts w:hint="eastAsia" w:eastAsia="宋体" w:cs="宋体"/>
                <w:color w:val="000000"/>
                <w:kern w:val="0"/>
                <w:sz w:val="20"/>
              </w:rPr>
              <w:t>其他</w:t>
            </w:r>
            <w:r>
              <w:rPr>
                <w:rFonts w:hint="eastAsia" w:eastAsia="宋体" w:cs="宋体"/>
                <w:color w:val="000000"/>
                <w:kern w:val="0"/>
                <w:sz w:val="20"/>
              </w:rPr>
              <w:br w:type="textWrapping"/>
            </w:r>
            <w:r>
              <w:rPr>
                <w:rFonts w:hint="eastAsia" w:eastAsia="宋体" w:cs="宋体"/>
                <w:color w:val="000000"/>
                <w:kern w:val="0"/>
                <w:sz w:val="20"/>
              </w:rPr>
              <w:t>结果</w:t>
            </w:r>
          </w:p>
        </w:tc>
        <w:tc>
          <w:tcPr>
            <w:tcW w:w="651" w:type="dxa"/>
            <w:tcMar>
              <w:left w:w="108" w:type="dxa"/>
              <w:right w:w="108" w:type="dxa"/>
            </w:tcMar>
            <w:vAlign w:val="center"/>
          </w:tcPr>
          <w:p>
            <w:pPr>
              <w:widowControl/>
              <w:jc w:val="center"/>
              <w:rPr>
                <w:color w:val="000000"/>
              </w:rPr>
            </w:pPr>
            <w:r>
              <w:rPr>
                <w:rFonts w:hint="eastAsia" w:eastAsia="宋体" w:cs="宋体"/>
                <w:color w:val="000000"/>
                <w:kern w:val="0"/>
                <w:sz w:val="20"/>
              </w:rPr>
              <w:t>尚未</w:t>
            </w:r>
            <w:r>
              <w:rPr>
                <w:rFonts w:hint="eastAsia" w:eastAsia="宋体" w:cs="宋体"/>
                <w:color w:val="000000"/>
                <w:kern w:val="0"/>
                <w:sz w:val="20"/>
              </w:rPr>
              <w:br w:type="textWrapping"/>
            </w:r>
            <w:r>
              <w:rPr>
                <w:rFonts w:hint="eastAsia" w:eastAsia="宋体" w:cs="宋体"/>
                <w:color w:val="000000"/>
                <w:kern w:val="0"/>
                <w:sz w:val="20"/>
              </w:rPr>
              <w:t>审结</w:t>
            </w:r>
          </w:p>
        </w:tc>
        <w:tc>
          <w:tcPr>
            <w:tcW w:w="651" w:type="dxa"/>
            <w:tcMar>
              <w:left w:w="108" w:type="dxa"/>
              <w:right w:w="108" w:type="dxa"/>
            </w:tcMar>
            <w:vAlign w:val="center"/>
          </w:tcPr>
          <w:p>
            <w:pPr>
              <w:widowControl/>
              <w:jc w:val="center"/>
              <w:rPr>
                <w:color w:val="000000"/>
              </w:rPr>
            </w:pPr>
            <w:r>
              <w:rPr>
                <w:rFonts w:hint="eastAsia" w:eastAsia="宋体" w:cs="宋体"/>
                <w:color w:val="000000"/>
                <w:kern w:val="0"/>
                <w:sz w:val="20"/>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2" w:hRule="atLeast"/>
          <w:jc w:val="center"/>
        </w:trPr>
        <w:tc>
          <w:tcPr>
            <w:tcW w:w="649" w:type="dxa"/>
            <w:tcMar>
              <w:left w:w="108" w:type="dxa"/>
              <w:right w:w="108" w:type="dxa"/>
            </w:tcMar>
            <w:vAlign w:val="center"/>
          </w:tcPr>
          <w:p>
            <w:pPr>
              <w:widowControl/>
              <w:jc w:val="center"/>
              <w:rPr>
                <w:color w:val="000000"/>
              </w:rPr>
            </w:pPr>
            <w:r>
              <w:rPr>
                <w:rFonts w:hint="eastAsia" w:eastAsia="黑体" w:cs="黑体"/>
                <w:color w:val="000000"/>
                <w:kern w:val="0"/>
                <w:sz w:val="20"/>
                <w:lang w:val="en-US" w:eastAsia="zh-CN"/>
              </w:rPr>
              <w:t>0</w:t>
            </w:r>
            <w:r>
              <w:rPr>
                <w:rFonts w:eastAsia="黑体" w:cs="黑体"/>
                <w:color w:val="000000"/>
                <w:kern w:val="0"/>
                <w:sz w:val="20"/>
              </w:rPr>
              <w:t> </w:t>
            </w:r>
          </w:p>
        </w:tc>
        <w:tc>
          <w:tcPr>
            <w:tcW w:w="649" w:type="dxa"/>
            <w:tcMar>
              <w:left w:w="108" w:type="dxa"/>
              <w:right w:w="108" w:type="dxa"/>
            </w:tcMar>
            <w:vAlign w:val="center"/>
          </w:tcPr>
          <w:p>
            <w:pPr>
              <w:widowControl/>
              <w:jc w:val="center"/>
              <w:rPr>
                <w:color w:val="000000"/>
              </w:rPr>
            </w:pPr>
            <w:r>
              <w:rPr>
                <w:rFonts w:hint="eastAsia" w:eastAsia="黑体" w:cs="黑体"/>
                <w:color w:val="000000"/>
                <w:kern w:val="0"/>
                <w:sz w:val="20"/>
                <w:lang w:val="en-US" w:eastAsia="zh-CN"/>
              </w:rPr>
              <w:t>0</w:t>
            </w:r>
            <w:r>
              <w:rPr>
                <w:rFonts w:hint="eastAsia" w:eastAsia="黑体" w:cs="黑体"/>
                <w:color w:val="000000"/>
                <w:kern w:val="0"/>
                <w:sz w:val="20"/>
              </w:rPr>
              <w:t> </w:t>
            </w:r>
          </w:p>
        </w:tc>
        <w:tc>
          <w:tcPr>
            <w:tcW w:w="649" w:type="dxa"/>
            <w:tcMar>
              <w:left w:w="108" w:type="dxa"/>
              <w:right w:w="108" w:type="dxa"/>
            </w:tcMar>
            <w:vAlign w:val="center"/>
          </w:tcPr>
          <w:p>
            <w:pPr>
              <w:widowControl/>
              <w:jc w:val="center"/>
              <w:rPr>
                <w:color w:val="000000"/>
              </w:rPr>
            </w:pPr>
            <w:r>
              <w:rPr>
                <w:rFonts w:hint="eastAsia" w:eastAsia="黑体" w:cs="黑体"/>
                <w:color w:val="000000"/>
                <w:kern w:val="0"/>
                <w:sz w:val="20"/>
                <w:lang w:val="en-US" w:eastAsia="zh-CN"/>
              </w:rPr>
              <w:t>0</w:t>
            </w:r>
            <w:r>
              <w:rPr>
                <w:rFonts w:hint="eastAsia" w:eastAsia="黑体" w:cs="黑体"/>
                <w:color w:val="000000"/>
                <w:kern w:val="0"/>
                <w:sz w:val="20"/>
              </w:rPr>
              <w:t> </w:t>
            </w:r>
          </w:p>
        </w:tc>
        <w:tc>
          <w:tcPr>
            <w:tcW w:w="649" w:type="dxa"/>
            <w:tcMar>
              <w:left w:w="108" w:type="dxa"/>
              <w:right w:w="108" w:type="dxa"/>
            </w:tcMar>
            <w:vAlign w:val="center"/>
          </w:tcPr>
          <w:p>
            <w:pPr>
              <w:widowControl/>
              <w:jc w:val="center"/>
              <w:rPr>
                <w:rFonts w:hint="eastAsia" w:eastAsia="黑体"/>
                <w:color w:val="000000"/>
                <w:lang w:val="en-US" w:eastAsia="zh-CN"/>
              </w:rPr>
            </w:pPr>
            <w:r>
              <w:rPr>
                <w:rFonts w:hint="eastAsia" w:eastAsia="黑体" w:cs="黑体"/>
                <w:color w:val="000000"/>
                <w:kern w:val="0"/>
                <w:sz w:val="20"/>
              </w:rPr>
              <w:t> </w:t>
            </w:r>
            <w:r>
              <w:rPr>
                <w:rFonts w:hint="eastAsia" w:eastAsia="黑体" w:cs="黑体"/>
                <w:color w:val="000000"/>
                <w:kern w:val="0"/>
                <w:sz w:val="20"/>
                <w:lang w:val="en-US" w:eastAsia="zh-CN"/>
              </w:rPr>
              <w:t>0</w:t>
            </w:r>
          </w:p>
        </w:tc>
        <w:tc>
          <w:tcPr>
            <w:tcW w:w="649" w:type="dxa"/>
            <w:tcMar>
              <w:left w:w="108" w:type="dxa"/>
              <w:right w:w="108" w:type="dxa"/>
            </w:tcMar>
            <w:vAlign w:val="center"/>
          </w:tcPr>
          <w:p>
            <w:pPr>
              <w:widowControl/>
              <w:jc w:val="center"/>
              <w:rPr>
                <w:color w:val="000000"/>
              </w:rPr>
            </w:pPr>
            <w:r>
              <w:rPr>
                <w:rFonts w:hint="eastAsia" w:eastAsia="黑体" w:cs="黑体"/>
                <w:color w:val="000000"/>
                <w:kern w:val="0"/>
                <w:sz w:val="20"/>
                <w:lang w:val="en-US" w:eastAsia="zh-CN"/>
              </w:rPr>
              <w:t>0</w:t>
            </w:r>
            <w:r>
              <w:rPr>
                <w:rFonts w:hint="eastAsia" w:eastAsia="黑体" w:cs="黑体"/>
                <w:color w:val="000000"/>
                <w:kern w:val="0"/>
                <w:sz w:val="20"/>
              </w:rPr>
              <w:t> </w:t>
            </w:r>
          </w:p>
        </w:tc>
        <w:tc>
          <w:tcPr>
            <w:tcW w:w="649" w:type="dxa"/>
            <w:tcMar>
              <w:left w:w="108" w:type="dxa"/>
              <w:right w:w="108" w:type="dxa"/>
            </w:tcMar>
            <w:vAlign w:val="center"/>
          </w:tcPr>
          <w:p>
            <w:pPr>
              <w:widowControl/>
              <w:jc w:val="center"/>
              <w:rPr>
                <w:color w:val="000000"/>
              </w:rPr>
            </w:pPr>
            <w:r>
              <w:rPr>
                <w:rFonts w:hint="eastAsia" w:eastAsia="黑体" w:cs="黑体"/>
                <w:color w:val="000000"/>
                <w:kern w:val="0"/>
                <w:sz w:val="20"/>
                <w:lang w:val="en-US" w:eastAsia="zh-CN"/>
              </w:rPr>
              <w:t>0</w:t>
            </w:r>
            <w:r>
              <w:rPr>
                <w:rFonts w:hint="eastAsia" w:eastAsia="黑体" w:cs="黑体"/>
                <w:color w:val="000000"/>
                <w:kern w:val="0"/>
                <w:sz w:val="20"/>
              </w:rPr>
              <w:t> </w:t>
            </w:r>
          </w:p>
        </w:tc>
        <w:tc>
          <w:tcPr>
            <w:tcW w:w="649" w:type="dxa"/>
            <w:tcMar>
              <w:left w:w="108" w:type="dxa"/>
              <w:right w:w="108" w:type="dxa"/>
            </w:tcMar>
            <w:vAlign w:val="center"/>
          </w:tcPr>
          <w:p>
            <w:pPr>
              <w:widowControl/>
              <w:jc w:val="center"/>
              <w:rPr>
                <w:rFonts w:hint="eastAsia" w:eastAsia="黑体"/>
                <w:color w:val="000000"/>
                <w:lang w:val="en-US" w:eastAsia="zh-CN"/>
              </w:rPr>
            </w:pPr>
            <w:r>
              <w:rPr>
                <w:rFonts w:hint="eastAsia" w:eastAsia="黑体" w:cs="黑体"/>
                <w:color w:val="000000"/>
                <w:kern w:val="0"/>
                <w:sz w:val="20"/>
              </w:rPr>
              <w:t> </w:t>
            </w:r>
            <w:r>
              <w:rPr>
                <w:rFonts w:hint="eastAsia" w:eastAsia="黑体" w:cs="黑体"/>
                <w:color w:val="000000"/>
                <w:kern w:val="0"/>
                <w:sz w:val="20"/>
                <w:lang w:val="en-US" w:eastAsia="zh-CN"/>
              </w:rPr>
              <w:t>0</w:t>
            </w:r>
          </w:p>
        </w:tc>
        <w:tc>
          <w:tcPr>
            <w:tcW w:w="650" w:type="dxa"/>
            <w:tcMar>
              <w:left w:w="108" w:type="dxa"/>
              <w:right w:w="108" w:type="dxa"/>
            </w:tcMar>
            <w:vAlign w:val="center"/>
          </w:tcPr>
          <w:p>
            <w:pPr>
              <w:widowControl/>
              <w:jc w:val="center"/>
              <w:rPr>
                <w:color w:val="000000"/>
              </w:rPr>
            </w:pPr>
            <w:r>
              <w:rPr>
                <w:rFonts w:hint="eastAsia" w:eastAsia="黑体" w:cs="黑体"/>
                <w:color w:val="000000"/>
                <w:kern w:val="0"/>
                <w:sz w:val="20"/>
                <w:lang w:val="en-US" w:eastAsia="zh-CN"/>
              </w:rPr>
              <w:t>0</w:t>
            </w:r>
            <w:r>
              <w:rPr>
                <w:rFonts w:hint="eastAsia" w:eastAsia="黑体" w:cs="黑体"/>
                <w:color w:val="000000"/>
                <w:kern w:val="0"/>
                <w:sz w:val="20"/>
              </w:rPr>
              <w:t> </w:t>
            </w:r>
          </w:p>
        </w:tc>
        <w:tc>
          <w:tcPr>
            <w:tcW w:w="650" w:type="dxa"/>
            <w:tcMar>
              <w:left w:w="108" w:type="dxa"/>
              <w:right w:w="108" w:type="dxa"/>
            </w:tcMar>
            <w:vAlign w:val="center"/>
          </w:tcPr>
          <w:p>
            <w:pPr>
              <w:widowControl/>
              <w:jc w:val="center"/>
              <w:rPr>
                <w:rFonts w:hint="eastAsia" w:eastAsia="黑体"/>
                <w:color w:val="000000"/>
                <w:lang w:val="en-US" w:eastAsia="zh-CN"/>
              </w:rPr>
            </w:pPr>
            <w:r>
              <w:rPr>
                <w:rFonts w:hint="eastAsia" w:eastAsia="黑体" w:cs="黑体"/>
                <w:color w:val="000000"/>
                <w:kern w:val="0"/>
                <w:sz w:val="20"/>
              </w:rPr>
              <w:t> </w:t>
            </w:r>
            <w:r>
              <w:rPr>
                <w:rFonts w:hint="eastAsia" w:eastAsia="黑体" w:cs="黑体"/>
                <w:color w:val="000000"/>
                <w:kern w:val="0"/>
                <w:sz w:val="20"/>
                <w:lang w:val="en-US" w:eastAsia="zh-CN"/>
              </w:rPr>
              <w:t>0</w:t>
            </w:r>
          </w:p>
        </w:tc>
        <w:tc>
          <w:tcPr>
            <w:tcW w:w="650" w:type="dxa"/>
            <w:tcMar>
              <w:left w:w="108" w:type="dxa"/>
              <w:right w:w="108" w:type="dxa"/>
            </w:tcMar>
            <w:vAlign w:val="center"/>
          </w:tcPr>
          <w:p>
            <w:pPr>
              <w:widowControl/>
              <w:jc w:val="center"/>
              <w:rPr>
                <w:color w:val="000000"/>
              </w:rPr>
            </w:pPr>
            <w:r>
              <w:rPr>
                <w:rFonts w:hint="eastAsia" w:eastAsia="黑体" w:cs="黑体"/>
                <w:color w:val="000000"/>
                <w:kern w:val="0"/>
                <w:sz w:val="20"/>
                <w:lang w:val="en-US" w:eastAsia="zh-CN"/>
              </w:rPr>
              <w:t>0</w:t>
            </w:r>
            <w:r>
              <w:rPr>
                <w:rFonts w:hint="eastAsia" w:eastAsia="黑体" w:cs="黑体"/>
                <w:color w:val="000000"/>
                <w:kern w:val="0"/>
                <w:sz w:val="20"/>
              </w:rPr>
              <w:t> </w:t>
            </w:r>
          </w:p>
        </w:tc>
        <w:tc>
          <w:tcPr>
            <w:tcW w:w="651" w:type="dxa"/>
            <w:tcMar>
              <w:left w:w="108" w:type="dxa"/>
              <w:right w:w="108" w:type="dxa"/>
            </w:tcMar>
            <w:vAlign w:val="center"/>
          </w:tcPr>
          <w:p>
            <w:pPr>
              <w:widowControl/>
              <w:jc w:val="center"/>
              <w:rPr>
                <w:rFonts w:hint="eastAsia" w:eastAsia="黑体"/>
                <w:color w:val="000000"/>
                <w:lang w:val="en-US" w:eastAsia="zh-CN"/>
              </w:rPr>
            </w:pPr>
            <w:r>
              <w:rPr>
                <w:rFonts w:hint="eastAsia" w:eastAsia="黑体" w:cs="黑体"/>
                <w:color w:val="000000"/>
                <w:kern w:val="0"/>
                <w:sz w:val="20"/>
              </w:rPr>
              <w:t> </w:t>
            </w:r>
            <w:r>
              <w:rPr>
                <w:rFonts w:hint="eastAsia" w:eastAsia="黑体" w:cs="黑体"/>
                <w:color w:val="000000"/>
                <w:kern w:val="0"/>
                <w:sz w:val="20"/>
                <w:lang w:val="en-US" w:eastAsia="zh-CN"/>
              </w:rPr>
              <w:t>0</w:t>
            </w:r>
          </w:p>
        </w:tc>
        <w:tc>
          <w:tcPr>
            <w:tcW w:w="651" w:type="dxa"/>
            <w:tcMar>
              <w:left w:w="108" w:type="dxa"/>
              <w:right w:w="108" w:type="dxa"/>
            </w:tcMar>
            <w:vAlign w:val="center"/>
          </w:tcPr>
          <w:p>
            <w:pPr>
              <w:widowControl/>
              <w:jc w:val="center"/>
              <w:rPr>
                <w:rFonts w:hint="eastAsia" w:eastAsia="黑体"/>
                <w:color w:val="000000"/>
                <w:lang w:val="en-US" w:eastAsia="zh-CN"/>
              </w:rPr>
            </w:pPr>
            <w:r>
              <w:rPr>
                <w:rFonts w:hint="eastAsia" w:eastAsia="黑体" w:cs="黑体"/>
                <w:color w:val="000000"/>
                <w:kern w:val="0"/>
                <w:sz w:val="20"/>
              </w:rPr>
              <w:t> </w:t>
            </w:r>
            <w:r>
              <w:rPr>
                <w:rFonts w:hint="eastAsia" w:eastAsia="黑体" w:cs="黑体"/>
                <w:color w:val="000000"/>
                <w:kern w:val="0"/>
                <w:sz w:val="20"/>
                <w:lang w:val="en-US" w:eastAsia="zh-CN"/>
              </w:rPr>
              <w:t>0</w:t>
            </w:r>
          </w:p>
        </w:tc>
        <w:tc>
          <w:tcPr>
            <w:tcW w:w="651" w:type="dxa"/>
            <w:tcMar>
              <w:left w:w="108" w:type="dxa"/>
              <w:right w:w="108" w:type="dxa"/>
            </w:tcMar>
            <w:vAlign w:val="center"/>
          </w:tcPr>
          <w:p>
            <w:pPr>
              <w:widowControl/>
              <w:jc w:val="center"/>
              <w:rPr>
                <w:color w:val="000000"/>
              </w:rPr>
            </w:pPr>
            <w:r>
              <w:rPr>
                <w:rFonts w:hint="eastAsia" w:eastAsia="黑体" w:cs="黑体"/>
                <w:color w:val="000000"/>
                <w:kern w:val="0"/>
                <w:sz w:val="20"/>
                <w:lang w:val="en-US" w:eastAsia="zh-CN"/>
              </w:rPr>
              <w:t>0</w:t>
            </w:r>
            <w:r>
              <w:rPr>
                <w:rFonts w:hint="eastAsia" w:eastAsia="黑体" w:cs="黑体"/>
                <w:color w:val="000000"/>
                <w:kern w:val="0"/>
                <w:sz w:val="20"/>
              </w:rPr>
              <w:t> </w:t>
            </w:r>
          </w:p>
        </w:tc>
        <w:tc>
          <w:tcPr>
            <w:tcW w:w="651" w:type="dxa"/>
            <w:tcMar>
              <w:left w:w="108" w:type="dxa"/>
              <w:right w:w="108" w:type="dxa"/>
            </w:tcMar>
            <w:vAlign w:val="center"/>
          </w:tcPr>
          <w:p>
            <w:pPr>
              <w:widowControl/>
              <w:jc w:val="center"/>
              <w:rPr>
                <w:color w:val="000000"/>
              </w:rPr>
            </w:pPr>
            <w:r>
              <w:rPr>
                <w:rFonts w:hint="eastAsia" w:eastAsia="黑体" w:cs="黑体"/>
                <w:color w:val="000000"/>
                <w:kern w:val="0"/>
                <w:sz w:val="20"/>
                <w:lang w:val="en-US" w:eastAsia="zh-CN"/>
              </w:rPr>
              <w:t>0</w:t>
            </w:r>
            <w:r>
              <w:rPr>
                <w:rFonts w:hint="eastAsia" w:eastAsia="黑体" w:cs="黑体"/>
                <w:color w:val="000000"/>
                <w:kern w:val="0"/>
                <w:sz w:val="20"/>
              </w:rPr>
              <w:t> </w:t>
            </w:r>
          </w:p>
        </w:tc>
        <w:tc>
          <w:tcPr>
            <w:tcW w:w="651" w:type="dxa"/>
            <w:tcMar>
              <w:left w:w="108" w:type="dxa"/>
              <w:right w:w="108" w:type="dxa"/>
            </w:tcMar>
            <w:vAlign w:val="center"/>
          </w:tcPr>
          <w:p>
            <w:pPr>
              <w:rPr>
                <w:rFonts w:hint="eastAsia" w:eastAsia="方正仿宋_GBK"/>
                <w:color w:val="000000"/>
                <w:sz w:val="24"/>
                <w:szCs w:val="24"/>
                <w:lang w:val="en-US" w:eastAsia="zh-CN"/>
              </w:rPr>
            </w:pPr>
            <w:r>
              <w:rPr>
                <w:rFonts w:hint="eastAsia"/>
                <w:color w:val="000000"/>
                <w:sz w:val="24"/>
                <w:szCs w:val="24"/>
                <w:lang w:val="en-US" w:eastAsia="zh-CN"/>
              </w:rPr>
              <w:t>0</w:t>
            </w:r>
          </w:p>
        </w:tc>
      </w:tr>
    </w:tbl>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eastAsia="方正黑体_GBK" w:cs="方正黑体_GBK"/>
          <w:color w:val="000000"/>
          <w:szCs w:val="32"/>
        </w:rPr>
      </w:pPr>
      <w:r>
        <w:rPr>
          <w:rFonts w:hint="eastAsia" w:ascii="方正黑体_GBK" w:hAnsi="方正黑体_GBK" w:eastAsia="方正黑体_GBK" w:cs="方正黑体_GBK"/>
          <w:color w:val="000000"/>
          <w:szCs w:val="32"/>
        </w:rPr>
        <w:t>五、存在的主要问题及改进情况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eastAsia="方正仿宋_GBK"/>
          <w:color w:val="000000"/>
          <w:szCs w:val="32"/>
          <w:lang w:val="en-US" w:eastAsia="zh-CN"/>
        </w:rPr>
      </w:pPr>
      <w:r>
        <w:rPr>
          <w:rFonts w:hint="eastAsia"/>
          <w:color w:val="000000"/>
          <w:szCs w:val="32"/>
          <w:lang w:val="en-US" w:eastAsia="zh-CN"/>
        </w:rPr>
        <w:t>主要问题：我委政府信息公开工作人员业务能力有待进一步提高,存在对具体法律法规研究不够深入、部分栏目更新有时不够及时等问题。下一步，将</w:t>
      </w:r>
      <w:r>
        <w:rPr>
          <w:rFonts w:hint="eastAsia"/>
          <w:color w:val="000000"/>
          <w:szCs w:val="32"/>
        </w:rPr>
        <w:t>进一步</w:t>
      </w:r>
      <w:r>
        <w:rPr>
          <w:rFonts w:hint="eastAsia"/>
          <w:color w:val="000000"/>
          <w:szCs w:val="32"/>
          <w:lang w:val="en-US" w:eastAsia="zh-CN"/>
        </w:rPr>
        <w:t>加强人员培训</w:t>
      </w:r>
      <w:r>
        <w:rPr>
          <w:rFonts w:hint="eastAsia"/>
          <w:color w:val="000000"/>
          <w:szCs w:val="32"/>
        </w:rPr>
        <w:t>，</w:t>
      </w:r>
      <w:r>
        <w:rPr>
          <w:rFonts w:hint="eastAsia"/>
          <w:color w:val="000000"/>
          <w:szCs w:val="32"/>
          <w:lang w:val="en-US" w:eastAsia="zh-CN"/>
        </w:rPr>
        <w:t>强化对</w:t>
      </w:r>
      <w:r>
        <w:rPr>
          <w:rFonts w:hint="eastAsia"/>
          <w:color w:val="000000"/>
          <w:szCs w:val="32"/>
        </w:rPr>
        <w:t>《中华人民共和国政府信息公开条例》</w:t>
      </w:r>
      <w:r>
        <w:rPr>
          <w:rFonts w:hint="eastAsia"/>
          <w:color w:val="000000"/>
          <w:szCs w:val="32"/>
          <w:lang w:val="en-US" w:eastAsia="zh-CN"/>
        </w:rPr>
        <w:t>的学习，提升政务公开工作水平，构建强有力的信息公开工作队伍。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方正黑体_GBK" w:hAnsi="方正黑体_GBK" w:eastAsia="方正黑体_GBK" w:cs="方正黑体_GBK"/>
          <w:color w:val="000000"/>
          <w:szCs w:val="32"/>
        </w:rPr>
      </w:pPr>
      <w:r>
        <w:rPr>
          <w:rFonts w:hint="eastAsia" w:ascii="方正黑体_GBK" w:hAnsi="方正黑体_GBK" w:eastAsia="方正黑体_GBK" w:cs="方正黑体_GBK"/>
          <w:color w:val="000000"/>
          <w:szCs w:val="32"/>
        </w:rPr>
        <w:t>六、其他需要报告的事项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color w:val="000000"/>
          <w:szCs w:val="32"/>
        </w:rPr>
      </w:pPr>
      <w:r>
        <w:rPr>
          <w:rFonts w:hint="eastAsia"/>
          <w:color w:val="000000"/>
          <w:szCs w:val="32"/>
        </w:rPr>
        <w:t>本单位严格落实《中华人民共和国政府信息公开条例》要求，完成政务公开各项工作。本机关未收取信息处理费。</w:t>
      </w:r>
    </w:p>
    <w:sectPr>
      <w:footerReference r:id="rId3" w:type="default"/>
      <w:pgSz w:w="11906" w:h="16838"/>
      <w:pgMar w:top="2098"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EC5A9"/>
    <w:multiLevelType w:val="singleLevel"/>
    <w:tmpl w:val="BF6EC5A9"/>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4OTE2MjMwYWE1ZGNlNTEyYzdkN2UzOTk1NWM1ZjcifQ=="/>
  </w:docVars>
  <w:rsids>
    <w:rsidRoot w:val="2FB36880"/>
    <w:rsid w:val="0A3812E3"/>
    <w:rsid w:val="0CD10094"/>
    <w:rsid w:val="18722C17"/>
    <w:rsid w:val="1AB07A25"/>
    <w:rsid w:val="1EE139F5"/>
    <w:rsid w:val="2FB36880"/>
    <w:rsid w:val="30763B0D"/>
    <w:rsid w:val="35FF4BF1"/>
    <w:rsid w:val="4026348D"/>
    <w:rsid w:val="46147D9E"/>
    <w:rsid w:val="4BF70A34"/>
    <w:rsid w:val="4D7B52E0"/>
    <w:rsid w:val="4FF31C2F"/>
    <w:rsid w:val="52CB0C33"/>
    <w:rsid w:val="5BEA5EBF"/>
    <w:rsid w:val="5C033153"/>
    <w:rsid w:val="5F4D1830"/>
    <w:rsid w:val="68813ED8"/>
    <w:rsid w:val="6A3764B5"/>
    <w:rsid w:val="7278587A"/>
    <w:rsid w:val="760A5684"/>
    <w:rsid w:val="7CD75D15"/>
    <w:rsid w:val="7D9175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lang w:val="en-US" w:eastAsia="zh-CN" w:bidi="ar-SA"/>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rPr>
  </w:style>
  <w:style w:type="paragraph" w:styleId="3">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2116</Words>
  <Characters>2152</Characters>
  <Lines>0</Lines>
  <Paragraphs>0</Paragraphs>
  <TotalTime>20</TotalTime>
  <ScaleCrop>false</ScaleCrop>
  <LinksUpToDate>false</LinksUpToDate>
  <CharactersWithSpaces>2166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2023-01-06T06:34:00Z</dcterms:created>
  <dc:creator>周伟庆</dc:creator>
  <cp:lastModifiedBy>吴珊珊</cp:lastModifiedBy>
  <cp:lastPrinted>2023-01-09T03:05:00Z</cp:lastPrinted>
  <dcterms:modified xsi:type="dcterms:W3CDTF">2024-01-29T08:00:34Z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AD243A52303644F5A876BCE25211981B</vt:lpwstr>
  </property>
</Properties>
</file>