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pPr>
      <w:r>
        <w:rPr>
          <w:rFonts w:hint="eastAsia" w:ascii="方正小标宋_GBK" w:eastAsia="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关于废止部分区政府规范性文件的决定</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长寿府发〔</w:t>
      </w:r>
      <w:r>
        <w:rPr>
          <w:rFonts w:ascii="Times New Roman" w:hAnsi="Times New Roman" w:eastAsia="方正仿宋_GBK" w:cs="Times New Roman"/>
          <w:sz w:val="32"/>
          <w:szCs w:val="32"/>
        </w:rPr>
        <w:t>2020</w:t>
      </w:r>
      <w:r>
        <w:rPr>
          <w:rFonts w:hint="eastAsia" w:ascii="方正仿宋_GBK" w:eastAsia="方正仿宋_GBK"/>
          <w:sz w:val="32"/>
          <w:szCs w:val="32"/>
        </w:rPr>
        <w:t>〕</w:t>
      </w:r>
      <w:r>
        <w:rPr>
          <w:rFonts w:ascii="Times New Roman" w:hAnsi="Times New Roman" w:eastAsia="方正仿宋_GBK" w:cs="Times New Roman"/>
          <w:sz w:val="32"/>
          <w:szCs w:val="32"/>
        </w:rPr>
        <w:t>27</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瀹嬩綋" w:eastAsia="方正仿宋_GBK"/>
          <w:sz w:val="32"/>
          <w:szCs w:val="32"/>
          <w:shd w:val="clear" w:color="auto" w:fill="FFFFFF"/>
        </w:rPr>
      </w:pPr>
      <w:r>
        <w:rPr>
          <w:rFonts w:hint="eastAsia" w:ascii="方正仿宋_GBK" w:eastAsia="方正仿宋_GBK"/>
          <w:sz w:val="32"/>
          <w:szCs w:val="32"/>
        </w:rPr>
        <w:t>各街道办事处、镇人民政府，区政府各部门，有关单位：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sz w:val="32"/>
          <w:szCs w:val="32"/>
        </w:rPr>
      </w:pPr>
      <w:r>
        <w:rPr>
          <w:rFonts w:ascii="Times New Roman" w:hAnsi="Times New Roman" w:eastAsia="方正仿宋_GBK" w:cs="Times New Roman"/>
          <w:sz w:val="32"/>
          <w:szCs w:val="32"/>
        </w:rPr>
        <w:t>2020</w:t>
      </w:r>
      <w:r>
        <w:rPr>
          <w:rFonts w:hint="eastAsia" w:ascii="方正仿宋_GBK" w:eastAsia="方正仿宋_GBK"/>
          <w:sz w:val="32"/>
          <w:szCs w:val="32"/>
        </w:rPr>
        <w:t>年</w:t>
      </w:r>
      <w:r>
        <w:rPr>
          <w:rFonts w:ascii="Times New Roman" w:hAnsi="Times New Roman" w:eastAsia="方正仿宋_GBK" w:cs="Times New Roman"/>
          <w:sz w:val="32"/>
          <w:szCs w:val="32"/>
        </w:rPr>
        <w:t>6</w:t>
      </w:r>
      <w:r>
        <w:rPr>
          <w:rFonts w:hint="eastAsia" w:ascii="方正仿宋_GBK" w:eastAsia="方正仿宋_GBK"/>
          <w:sz w:val="32"/>
          <w:szCs w:val="32"/>
        </w:rPr>
        <w:t>月</w:t>
      </w:r>
      <w:r>
        <w:rPr>
          <w:rFonts w:ascii="Times New Roman" w:hAnsi="Times New Roman" w:eastAsia="方正仿宋_GBK" w:cs="Times New Roman"/>
          <w:sz w:val="32"/>
          <w:szCs w:val="32"/>
        </w:rPr>
        <w:t>16</w:t>
      </w:r>
      <w:r>
        <w:rPr>
          <w:rFonts w:hint="eastAsia" w:ascii="方正仿宋_GBK" w:eastAsia="方正仿宋_GBK"/>
          <w:sz w:val="32"/>
          <w:szCs w:val="32"/>
        </w:rPr>
        <w:t>日，经区政府第十八届第</w:t>
      </w:r>
      <w:r>
        <w:rPr>
          <w:rFonts w:ascii="Times New Roman" w:hAnsi="Times New Roman" w:eastAsia="方正仿宋_GBK" w:cs="Times New Roman"/>
          <w:sz w:val="32"/>
          <w:szCs w:val="32"/>
        </w:rPr>
        <w:t>104</w:t>
      </w:r>
      <w:r>
        <w:rPr>
          <w:rFonts w:hint="eastAsia" w:ascii="方正仿宋_GBK" w:eastAsia="方正仿宋_GBK"/>
          <w:sz w:val="32"/>
          <w:szCs w:val="32"/>
        </w:rPr>
        <w:t>次常务会议审定，对《</w:t>
      </w:r>
      <w:r>
        <w:rPr>
          <w:rFonts w:hint="eastAsia" w:ascii="方正仿宋_GBK" w:hAnsi="Arial" w:eastAsia="方正仿宋_GBK" w:cs="Arial"/>
          <w:color w:val="000000"/>
          <w:kern w:val="0"/>
          <w:sz w:val="32"/>
          <w:szCs w:val="32"/>
        </w:rPr>
        <w:t>重庆市长寿区人民政府办公室关于印发长寿区桃花河流域水产养殖污染长效防治实施方案的通知</w:t>
      </w:r>
      <w:r>
        <w:rPr>
          <w:rFonts w:hint="eastAsia" w:ascii="方正仿宋_GBK" w:eastAsia="方正仿宋_GBK"/>
          <w:sz w:val="32"/>
          <w:szCs w:val="32"/>
        </w:rPr>
        <w:t>》（</w:t>
      </w:r>
      <w:r>
        <w:rPr>
          <w:rFonts w:hint="eastAsia" w:ascii="方正仿宋_GBK" w:hAnsi="Arial" w:eastAsia="方正仿宋_GBK" w:cs="Arial"/>
          <w:color w:val="000000"/>
          <w:kern w:val="0"/>
          <w:sz w:val="32"/>
          <w:szCs w:val="32"/>
        </w:rPr>
        <w:t>长寿府办发〔</w:t>
      </w:r>
      <w:r>
        <w:rPr>
          <w:rFonts w:ascii="Times New Roman" w:hAnsi="Times New Roman" w:eastAsia="方正仿宋_GBK" w:cs="Times New Roman"/>
          <w:color w:val="000000"/>
          <w:kern w:val="0"/>
          <w:sz w:val="32"/>
          <w:szCs w:val="32"/>
        </w:rPr>
        <w:t>2015</w:t>
      </w:r>
      <w:r>
        <w:rPr>
          <w:rFonts w:hint="eastAsia" w:ascii="方正仿宋_GBK" w:hAnsi="Arial" w:eastAsia="方正仿宋_GBK" w:cs="Arial"/>
          <w:color w:val="000000"/>
          <w:kern w:val="0"/>
          <w:sz w:val="32"/>
          <w:szCs w:val="32"/>
        </w:rPr>
        <w:t>〕</w:t>
      </w:r>
      <w:r>
        <w:rPr>
          <w:rFonts w:ascii="Times New Roman" w:hAnsi="Times New Roman" w:eastAsia="方正仿宋_GBK" w:cs="Times New Roman"/>
          <w:color w:val="000000"/>
          <w:kern w:val="0"/>
          <w:sz w:val="32"/>
          <w:szCs w:val="32"/>
        </w:rPr>
        <w:t>177</w:t>
      </w:r>
      <w:r>
        <w:rPr>
          <w:rFonts w:hint="eastAsia" w:ascii="方正仿宋_GBK" w:hAnsi="Arial" w:eastAsia="方正仿宋_GBK" w:cs="Arial"/>
          <w:color w:val="000000"/>
          <w:kern w:val="0"/>
          <w:sz w:val="32"/>
          <w:szCs w:val="32"/>
        </w:rPr>
        <w:t>号</w:t>
      </w:r>
      <w:r>
        <w:rPr>
          <w:rFonts w:hint="eastAsia" w:ascii="方正仿宋_GBK" w:eastAsia="方正仿宋_GBK"/>
          <w:sz w:val="32"/>
          <w:szCs w:val="32"/>
        </w:rPr>
        <w:t>）等</w:t>
      </w:r>
      <w:r>
        <w:rPr>
          <w:rFonts w:ascii="Times New Roman" w:hAnsi="Times New Roman" w:eastAsia="方正仿宋_GBK" w:cs="Times New Roman"/>
          <w:sz w:val="32"/>
          <w:szCs w:val="32"/>
        </w:rPr>
        <w:t>5</w:t>
      </w:r>
      <w:r>
        <w:rPr>
          <w:rFonts w:hint="eastAsia" w:ascii="方正仿宋_GBK" w:eastAsia="方正仿宋_GBK"/>
          <w:sz w:val="32"/>
          <w:szCs w:val="32"/>
        </w:rPr>
        <w:t>件政府规范性文件予以废止，本决定自公布之日起施行。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附件：废止的区政府规范性文件目录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right"/>
        <w:textAlignment w:val="auto"/>
        <w:rPr>
          <w:rFonts w:hint="eastAsia" w:ascii="方正仿宋_GBK" w:eastAsia="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 xml:space="preserve">                              重庆市长寿区人民政府</w:t>
      </w:r>
      <w:r>
        <w:rPr>
          <w:rFonts w:hint="eastAsia" w:ascii="方正仿宋_GBK" w:eastAsia="方正仿宋_GBK"/>
          <w:sz w:val="32"/>
          <w:szCs w:val="32"/>
          <w:lang w:val="en-US" w:eastAsia="zh-CN"/>
        </w:rPr>
        <w:t xml:space="preserve">  </w:t>
      </w:r>
    </w:p>
    <w:p>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jc w:val="right"/>
        <w:textAlignment w:val="auto"/>
        <w:rPr>
          <w:rFonts w:hint="default" w:ascii="方正仿宋_GBK" w:eastAsia="方正仿宋_GBK"/>
          <w:sz w:val="32"/>
          <w:szCs w:val="32"/>
          <w:lang w:val="en-US" w:eastAsia="zh-CN"/>
        </w:rPr>
      </w:pPr>
      <w:r>
        <w:rPr>
          <w:rFonts w:ascii="Times New Roman" w:hAnsi="Times New Roman" w:eastAsia="方正仿宋_GBK" w:cs="Times New Roman"/>
          <w:sz w:val="32"/>
          <w:szCs w:val="32"/>
        </w:rPr>
        <w:t>2020</w:t>
      </w:r>
      <w:r>
        <w:rPr>
          <w:rFonts w:hint="eastAsia" w:ascii="方正仿宋_GBK" w:eastAsia="方正仿宋_GBK"/>
          <w:sz w:val="32"/>
          <w:szCs w:val="32"/>
        </w:rPr>
        <w:t>年</w:t>
      </w:r>
      <w:r>
        <w:rPr>
          <w:rFonts w:ascii="Times New Roman" w:hAnsi="Times New Roman" w:eastAsia="方正仿宋_GBK" w:cs="Times New Roman"/>
          <w:sz w:val="32"/>
          <w:szCs w:val="32"/>
        </w:rPr>
        <w:t>6</w:t>
      </w:r>
      <w:r>
        <w:rPr>
          <w:rFonts w:hint="eastAsia" w:ascii="方正仿宋_GBK" w:eastAsia="方正仿宋_GBK"/>
          <w:sz w:val="32"/>
          <w:szCs w:val="32"/>
        </w:rPr>
        <w:t>月</w:t>
      </w:r>
      <w:r>
        <w:rPr>
          <w:rFonts w:ascii="Times New Roman" w:hAnsi="Times New Roman" w:eastAsia="方正仿宋_GBK" w:cs="Times New Roman"/>
          <w:sz w:val="32"/>
          <w:szCs w:val="32"/>
        </w:rPr>
        <w:t>29</w:t>
      </w:r>
      <w:r>
        <w:rPr>
          <w:rFonts w:hint="eastAsia" w:ascii="方正仿宋_GBK" w:eastAsia="方正仿宋_GBK"/>
          <w:sz w:val="32"/>
          <w:szCs w:val="32"/>
        </w:rPr>
        <w:t>日</w:t>
      </w:r>
      <w:r>
        <w:rPr>
          <w:rFonts w:hint="eastAsia" w:ascii="方正仿宋_GBK" w:eastAsia="方正仿宋_GBK"/>
          <w:sz w:val="32"/>
          <w:szCs w:val="32"/>
          <w:lang w:val="en-US" w:eastAsia="zh-CN"/>
        </w:rPr>
        <w:t xml:space="preserve">   </w:t>
      </w:r>
    </w:p>
    <w:p>
      <w:pPr>
        <w:keepNext w:val="0"/>
        <w:keepLines w:val="0"/>
        <w:pageBreakBefore w:val="0"/>
        <w:widowControl w:val="0"/>
        <w:shd w:val="clear" w:color="auto" w:fill="FFFFFF"/>
        <w:tabs>
          <w:tab w:val="left" w:pos="5484"/>
        </w:tabs>
        <w:kinsoku/>
        <w:wordWrap/>
        <w:overflowPunct/>
        <w:topLinePunct w:val="0"/>
        <w:autoSpaceDE/>
        <w:autoSpaceDN/>
        <w:bidi w:val="0"/>
        <w:adjustRightInd/>
        <w:snapToGrid/>
        <w:spacing w:line="600" w:lineRule="exact"/>
        <w:textAlignment w:val="auto"/>
        <w:rPr>
          <w:rFonts w:hint="eastAsia" w:ascii="方正仿宋_GBK" w:eastAsiaTheme="minorEastAsia"/>
          <w:lang w:eastAsia="zh-CN"/>
        </w:rPr>
      </w:pPr>
      <w:r>
        <w:rPr>
          <w:rFonts w:hint="eastAsia" w:ascii="方正仿宋_GBK"/>
        </w:rPr>
        <w:t xml:space="preserve"> </w:t>
      </w:r>
      <w:r>
        <w:rPr>
          <w:rFonts w:hint="eastAsia" w:ascii="方正仿宋_GBK"/>
          <w:lang w:eastAsia="zh-CN"/>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黑体_GBK" w:eastAsia="方正黑体_GBK"/>
          <w:sz w:val="32"/>
          <w:szCs w:val="32"/>
        </w:rPr>
      </w:pPr>
      <w:r>
        <w:rPr>
          <w:rFonts w:hint="eastAsia" w:ascii="方正黑体_GBK" w:eastAsia="方正黑体_GBK"/>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eastAsia="方正仿宋_GBK"/>
        </w:rPr>
      </w:pPr>
      <w:r>
        <w:rPr>
          <w:rFonts w:hint="eastAsia" w:ascii="方正仿宋_GBK"/>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shd w:val="clear" w:color="auto" w:fill="FFFFFF"/>
        </w:rPr>
      </w:pPr>
      <w:r>
        <w:rPr>
          <w:rFonts w:hint="eastAsia" w:ascii="方正小标宋_GBK" w:eastAsia="方正小标宋_GBK"/>
          <w:sz w:val="44"/>
          <w:szCs w:val="44"/>
          <w:shd w:val="clear" w:color="auto" w:fill="FFFFFF"/>
        </w:rPr>
        <w:t>废止的区政府规范性文件目录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黑体_GBK" w:eastAsia="方正黑体_GBK"/>
          <w:sz w:val="32"/>
          <w:szCs w:val="32"/>
        </w:rPr>
      </w:pPr>
      <w:r>
        <w:rPr>
          <w:rFonts w:hint="eastAsia" w:ascii="方正黑体_GBK" w:eastAsia="方正黑体_GBK"/>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rPr>
        <w:t xml:space="preserve">   </w:t>
      </w:r>
      <w:r>
        <w:rPr>
          <w:rFonts w:hint="eastAsia" w:ascii="方正仿宋_GBK" w:eastAsia="方正仿宋_GBK"/>
          <w:sz w:val="32"/>
          <w:szCs w:val="32"/>
        </w:rPr>
        <w:t xml:space="preserve"> </w:t>
      </w:r>
      <w:r>
        <w:rPr>
          <w:rFonts w:ascii="Times New Roman" w:hAnsi="Times New Roman" w:eastAsia="方正仿宋_GBK" w:cs="Times New Roman"/>
          <w:sz w:val="32"/>
          <w:szCs w:val="32"/>
        </w:rPr>
        <w:t>1</w:t>
      </w:r>
      <w:r>
        <w:rPr>
          <w:rFonts w:hint="eastAsia" w:ascii="方正仿宋_GBK" w:eastAsia="方正仿宋_GBK"/>
          <w:sz w:val="32"/>
          <w:szCs w:val="32"/>
        </w:rPr>
        <w:t>.《</w:t>
      </w:r>
      <w:r>
        <w:rPr>
          <w:rFonts w:hint="eastAsia" w:ascii="方正仿宋_GBK" w:hAnsi="Arial" w:eastAsia="方正仿宋_GBK" w:cs="Arial"/>
          <w:color w:val="000000"/>
          <w:kern w:val="0"/>
          <w:sz w:val="32"/>
          <w:szCs w:val="32"/>
        </w:rPr>
        <w:t>重庆市长寿区人民政府办公室关于印发长寿区桃花河流域水产养殖污染长效防治实施方案的通知</w:t>
      </w:r>
      <w:r>
        <w:rPr>
          <w:rFonts w:hint="eastAsia" w:ascii="方正仿宋_GBK" w:eastAsia="方正仿宋_GBK"/>
          <w:sz w:val="32"/>
          <w:szCs w:val="32"/>
        </w:rPr>
        <w:t>》（</w:t>
      </w:r>
      <w:r>
        <w:rPr>
          <w:rFonts w:hint="eastAsia" w:ascii="方正仿宋_GBK" w:hAnsi="Arial" w:eastAsia="方正仿宋_GBK" w:cs="Arial"/>
          <w:color w:val="000000"/>
          <w:kern w:val="0"/>
          <w:sz w:val="32"/>
          <w:szCs w:val="32"/>
        </w:rPr>
        <w:t>长寿府办发〔</w:t>
      </w:r>
      <w:r>
        <w:rPr>
          <w:rFonts w:ascii="Times New Roman" w:hAnsi="Times New Roman" w:eastAsia="方正仿宋_GBK" w:cs="Times New Roman"/>
          <w:color w:val="000000"/>
          <w:kern w:val="0"/>
          <w:sz w:val="32"/>
          <w:szCs w:val="32"/>
        </w:rPr>
        <w:t>2015</w:t>
      </w:r>
      <w:r>
        <w:rPr>
          <w:rFonts w:hint="eastAsia" w:ascii="方正仿宋_GBK" w:hAnsi="Arial" w:eastAsia="方正仿宋_GBK" w:cs="Arial"/>
          <w:color w:val="000000"/>
          <w:kern w:val="0"/>
          <w:sz w:val="32"/>
          <w:szCs w:val="32"/>
        </w:rPr>
        <w:t>〕</w:t>
      </w:r>
      <w:r>
        <w:rPr>
          <w:rFonts w:ascii="Times New Roman" w:hAnsi="Times New Roman" w:eastAsia="方正仿宋_GBK" w:cs="Times New Roman"/>
          <w:color w:val="000000"/>
          <w:kern w:val="0"/>
          <w:sz w:val="32"/>
          <w:szCs w:val="32"/>
        </w:rPr>
        <w:t>177</w:t>
      </w:r>
      <w:r>
        <w:rPr>
          <w:rFonts w:hint="eastAsia" w:ascii="方正仿宋_GBK" w:hAnsi="Arial" w:eastAsia="方正仿宋_GBK" w:cs="Arial"/>
          <w:color w:val="000000"/>
          <w:kern w:val="0"/>
          <w:sz w:val="32"/>
          <w:szCs w:val="32"/>
        </w:rPr>
        <w:t>号</w:t>
      </w:r>
      <w:r>
        <w:rPr>
          <w:rFonts w:hint="eastAsia" w:ascii="方正仿宋_GBK" w:eastAsia="方正仿宋_GBK"/>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黑体_GBK" w:eastAsia="方正仿宋_GBK" w:cs="方正黑体_GBK"/>
          <w:sz w:val="32"/>
          <w:szCs w:val="32"/>
        </w:rPr>
      </w:pPr>
      <w:r>
        <w:rPr>
          <w:rFonts w:hint="eastAsia" w:ascii="方正仿宋_GBK" w:eastAsia="方正仿宋_GBK"/>
          <w:sz w:val="32"/>
          <w:szCs w:val="32"/>
        </w:rPr>
        <w:t xml:space="preserve">    </w:t>
      </w:r>
      <w:r>
        <w:rPr>
          <w:rFonts w:ascii="Times New Roman" w:hAnsi="Times New Roman" w:eastAsia="方正仿宋_GBK" w:cs="Times New Roman"/>
          <w:sz w:val="32"/>
          <w:szCs w:val="32"/>
        </w:rPr>
        <w:t>2</w:t>
      </w:r>
      <w:r>
        <w:rPr>
          <w:rFonts w:hint="eastAsia" w:ascii="方正仿宋_GBK" w:eastAsia="方正仿宋_GBK"/>
          <w:sz w:val="32"/>
          <w:szCs w:val="32"/>
        </w:rPr>
        <w:t>.</w:t>
      </w:r>
      <w:r>
        <w:rPr>
          <w:rFonts w:hint="eastAsia" w:ascii="方正仿宋_GBK" w:hAnsi="方正黑体_GBK" w:eastAsia="方正仿宋_GBK" w:cs="方正黑体_GBK"/>
          <w:sz w:val="32"/>
          <w:szCs w:val="32"/>
        </w:rPr>
        <w:t>《重庆市长寿区人民政府办公室关于印发进一步加强货车超限超载治理工作实施方案的通知》（长寿府办发〔</w:t>
      </w:r>
      <w:r>
        <w:rPr>
          <w:rFonts w:ascii="Times New Roman" w:hAnsi="Times New Roman" w:eastAsia="方正仿宋_GBK" w:cs="Times New Roman"/>
          <w:sz w:val="32"/>
          <w:szCs w:val="32"/>
        </w:rPr>
        <w:t>2016</w:t>
      </w:r>
      <w:r>
        <w:rPr>
          <w:rFonts w:hint="eastAsia" w:ascii="方正仿宋_GBK" w:hAnsi="方正黑体_GBK" w:eastAsia="方正仿宋_GBK" w:cs="方正黑体_GBK"/>
          <w:sz w:val="32"/>
          <w:szCs w:val="32"/>
        </w:rPr>
        <w:t>〕</w:t>
      </w:r>
      <w:r>
        <w:rPr>
          <w:rFonts w:ascii="Times New Roman" w:hAnsi="Times New Roman" w:eastAsia="方正仿宋_GBK" w:cs="Times New Roman"/>
          <w:sz w:val="32"/>
          <w:szCs w:val="32"/>
        </w:rPr>
        <w:t>208</w:t>
      </w:r>
      <w:r>
        <w:rPr>
          <w:rFonts w:hint="eastAsia" w:ascii="方正仿宋_GBK" w:hAnsi="方正黑体_GBK" w:eastAsia="方正仿宋_GBK" w:cs="方正黑体_GBK"/>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Arial" w:eastAsia="方正仿宋_GBK" w:cs="Arial"/>
          <w:color w:val="000000"/>
          <w:kern w:val="0"/>
          <w:sz w:val="32"/>
          <w:szCs w:val="32"/>
        </w:rPr>
      </w:pPr>
      <w:r>
        <w:rPr>
          <w:rFonts w:hint="eastAsia" w:ascii="方正仿宋_GBK" w:hAnsi="方正黑体_GBK" w:eastAsia="方正仿宋_GBK" w:cs="方正黑体_GBK"/>
          <w:sz w:val="32"/>
          <w:szCs w:val="32"/>
        </w:rPr>
        <w:t xml:space="preserve">    </w:t>
      </w:r>
      <w:r>
        <w:rPr>
          <w:rFonts w:ascii="Times New Roman" w:hAnsi="Times New Roman" w:eastAsia="方正仿宋_GBK" w:cs="Times New Roman"/>
          <w:sz w:val="32"/>
          <w:szCs w:val="32"/>
        </w:rPr>
        <w:t>3</w:t>
      </w:r>
      <w:r>
        <w:rPr>
          <w:rFonts w:hint="eastAsia" w:ascii="方正仿宋_GBK" w:hAnsi="方正黑体_GBK" w:eastAsia="方正仿宋_GBK" w:cs="方正黑体_GBK"/>
          <w:sz w:val="32"/>
          <w:szCs w:val="32"/>
        </w:rPr>
        <w:t>.</w:t>
      </w:r>
      <w:r>
        <w:rPr>
          <w:rFonts w:hint="eastAsia" w:ascii="方正仿宋_GBK" w:eastAsia="方正仿宋_GBK"/>
          <w:sz w:val="32"/>
          <w:szCs w:val="32"/>
        </w:rPr>
        <w:t>《</w:t>
      </w:r>
      <w:r>
        <w:rPr>
          <w:rFonts w:hint="eastAsia" w:ascii="方正仿宋_GBK" w:hAnsi="Arial" w:eastAsia="方正仿宋_GBK" w:cs="Arial"/>
          <w:color w:val="000000"/>
          <w:kern w:val="0"/>
          <w:sz w:val="32"/>
          <w:szCs w:val="32"/>
        </w:rPr>
        <w:t>重庆市长寿区人民政府办公室关于印发重庆市长寿区畜禽养殖及屠宰场污染综合整治实施方案的通知</w:t>
      </w:r>
      <w:r>
        <w:rPr>
          <w:rFonts w:hint="eastAsia" w:ascii="方正仿宋_GBK" w:eastAsia="方正仿宋_GBK"/>
          <w:sz w:val="32"/>
          <w:szCs w:val="32"/>
        </w:rPr>
        <w:t>》（</w:t>
      </w:r>
      <w:r>
        <w:rPr>
          <w:rFonts w:hint="eastAsia" w:ascii="方正仿宋_GBK" w:hAnsi="Arial" w:eastAsia="方正仿宋_GBK" w:cs="Arial"/>
          <w:color w:val="000000"/>
          <w:kern w:val="0"/>
          <w:sz w:val="32"/>
          <w:szCs w:val="32"/>
        </w:rPr>
        <w:t>长寿府办发〔</w:t>
      </w:r>
      <w:r>
        <w:rPr>
          <w:rFonts w:ascii="Times New Roman" w:hAnsi="Times New Roman" w:eastAsia="方正仿宋_GBK" w:cs="Times New Roman"/>
          <w:color w:val="000000"/>
          <w:kern w:val="0"/>
          <w:sz w:val="32"/>
          <w:szCs w:val="32"/>
        </w:rPr>
        <w:t>2016</w:t>
      </w:r>
      <w:r>
        <w:rPr>
          <w:rFonts w:hint="eastAsia" w:ascii="方正仿宋_GBK" w:hAnsi="Arial" w:eastAsia="方正仿宋_GBK" w:cs="Arial"/>
          <w:color w:val="000000"/>
          <w:kern w:val="0"/>
          <w:sz w:val="32"/>
          <w:szCs w:val="32"/>
        </w:rPr>
        <w:t>〕</w:t>
      </w:r>
      <w:r>
        <w:rPr>
          <w:rFonts w:ascii="Times New Roman" w:hAnsi="Times New Roman" w:eastAsia="方正仿宋_GBK" w:cs="Times New Roman"/>
          <w:color w:val="000000"/>
          <w:kern w:val="0"/>
          <w:sz w:val="32"/>
          <w:szCs w:val="32"/>
        </w:rPr>
        <w:t>215</w:t>
      </w:r>
      <w:r>
        <w:rPr>
          <w:rFonts w:hint="eastAsia" w:ascii="方正仿宋_GBK" w:hAnsi="Arial" w:eastAsia="方正仿宋_GBK" w:cs="Arial"/>
          <w:color w:val="000000"/>
          <w:kern w:val="0"/>
          <w:sz w:val="32"/>
          <w:szCs w:val="32"/>
        </w:rPr>
        <w:t>号</w:t>
      </w:r>
      <w:r>
        <w:rPr>
          <w:rFonts w:hint="eastAsia" w:ascii="方正仿宋_GBK" w:eastAsia="方正仿宋_GBK"/>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Times New Roman" w:eastAsia="方正仿宋_GBK" w:cs="Times New Roman"/>
          <w:sz w:val="32"/>
          <w:szCs w:val="32"/>
        </w:rPr>
      </w:pPr>
      <w:r>
        <w:rPr>
          <w:rFonts w:hint="eastAsia" w:ascii="方正仿宋_GBK" w:hAnsi="Arial" w:eastAsia="方正仿宋_GBK" w:cs="Arial"/>
          <w:color w:val="000000"/>
          <w:kern w:val="0"/>
          <w:sz w:val="32"/>
          <w:szCs w:val="32"/>
        </w:rPr>
        <w:t xml:space="preserve">    </w:t>
      </w:r>
      <w:r>
        <w:rPr>
          <w:rFonts w:ascii="Times New Roman" w:hAnsi="Times New Roman" w:eastAsia="方正仿宋_GBK" w:cs="Times New Roman"/>
          <w:color w:val="000000"/>
          <w:kern w:val="0"/>
          <w:sz w:val="32"/>
          <w:szCs w:val="32"/>
        </w:rPr>
        <w:t>4</w:t>
      </w:r>
      <w:r>
        <w:rPr>
          <w:rFonts w:hint="eastAsia" w:ascii="方正仿宋_GBK" w:hAnsi="Arial" w:eastAsia="方正仿宋_GBK" w:cs="Arial"/>
          <w:color w:val="000000"/>
          <w:kern w:val="0"/>
          <w:sz w:val="32"/>
          <w:szCs w:val="32"/>
        </w:rPr>
        <w:t>.</w:t>
      </w:r>
      <w:r>
        <w:rPr>
          <w:rFonts w:hint="eastAsia" w:ascii="方正仿宋_GBK" w:eastAsia="方正仿宋_GBK"/>
          <w:sz w:val="32"/>
          <w:szCs w:val="32"/>
        </w:rPr>
        <w:t>《</w:t>
      </w:r>
      <w:r>
        <w:rPr>
          <w:rFonts w:hint="eastAsia" w:ascii="方正仿宋_GBK" w:hAnsi="Arial" w:eastAsia="方正仿宋_GBK" w:cs="Arial"/>
          <w:color w:val="000000"/>
          <w:kern w:val="0"/>
          <w:sz w:val="32"/>
          <w:szCs w:val="32"/>
        </w:rPr>
        <w:t>重庆市长寿区人民政府办公室关于加强天然水域禁渔管理工作的通知</w:t>
      </w:r>
      <w:r>
        <w:rPr>
          <w:rFonts w:hint="eastAsia" w:ascii="方正仿宋_GBK" w:eastAsia="方正仿宋_GBK"/>
          <w:sz w:val="32"/>
          <w:szCs w:val="32"/>
        </w:rPr>
        <w:t>》（</w:t>
      </w:r>
      <w:r>
        <w:rPr>
          <w:rFonts w:hint="eastAsia" w:ascii="方正仿宋_GBK" w:hAnsi="Arial" w:eastAsia="方正仿宋_GBK" w:cs="Arial"/>
          <w:color w:val="000000"/>
          <w:kern w:val="0"/>
          <w:sz w:val="32"/>
          <w:szCs w:val="32"/>
        </w:rPr>
        <w:t>长寿府办发〔</w:t>
      </w:r>
      <w:r>
        <w:rPr>
          <w:rFonts w:ascii="Times New Roman" w:hAnsi="Times New Roman" w:eastAsia="方正仿宋_GBK" w:cs="Times New Roman"/>
          <w:color w:val="000000"/>
          <w:kern w:val="0"/>
          <w:sz w:val="32"/>
          <w:szCs w:val="32"/>
        </w:rPr>
        <w:t>2017</w:t>
      </w:r>
      <w:r>
        <w:rPr>
          <w:rFonts w:hint="eastAsia" w:ascii="方正仿宋_GBK" w:hAnsi="Arial" w:eastAsia="方正仿宋_GBK" w:cs="Arial"/>
          <w:color w:val="000000"/>
          <w:kern w:val="0"/>
          <w:sz w:val="32"/>
          <w:szCs w:val="32"/>
        </w:rPr>
        <w:t>〕</w:t>
      </w:r>
      <w:r>
        <w:rPr>
          <w:rFonts w:ascii="Times New Roman" w:hAnsi="Times New Roman" w:eastAsia="方正仿宋_GBK" w:cs="Times New Roman"/>
          <w:color w:val="000000"/>
          <w:kern w:val="0"/>
          <w:sz w:val="32"/>
          <w:szCs w:val="32"/>
        </w:rPr>
        <w:t>23</w:t>
      </w:r>
      <w:r>
        <w:rPr>
          <w:rFonts w:hint="eastAsia" w:ascii="方正仿宋_GBK" w:hAnsi="Arial" w:eastAsia="方正仿宋_GBK" w:cs="Arial"/>
          <w:color w:val="000000"/>
          <w:kern w:val="0"/>
          <w:sz w:val="32"/>
          <w:szCs w:val="32"/>
        </w:rPr>
        <w:t>号</w:t>
      </w:r>
      <w:r>
        <w:rPr>
          <w:rFonts w:hint="eastAsia" w:ascii="方正仿宋_GBK" w:eastAsia="方正仿宋_GBK"/>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ascii="Times New Roman" w:hAnsi="Times New Roman" w:eastAsia="方正仿宋_GBK" w:cs="Times New Roman"/>
          <w:sz w:val="32"/>
          <w:szCs w:val="32"/>
        </w:rPr>
        <w:t>5</w:t>
      </w:r>
      <w:r>
        <w:rPr>
          <w:rFonts w:hint="eastAsia" w:ascii="方正仿宋_GBK" w:eastAsia="方正仿宋_GBK"/>
          <w:sz w:val="32"/>
          <w:szCs w:val="32"/>
        </w:rPr>
        <w:t>.</w:t>
      </w:r>
      <w:r>
        <w:rPr>
          <w:rFonts w:hint="eastAsia" w:ascii="方正仿宋_GBK" w:hAnsi="方正黑体_GBK" w:eastAsia="方正仿宋_GBK" w:cs="方正黑体_GBK"/>
          <w:sz w:val="32"/>
          <w:szCs w:val="32"/>
        </w:rPr>
        <w:t>《重庆市长寿区人民政府关于划定长寿区“黄标车”限行区域的通告》（长寿府发〔</w:t>
      </w:r>
      <w:r>
        <w:rPr>
          <w:rFonts w:ascii="Times New Roman" w:hAnsi="Times New Roman" w:eastAsia="方正仿宋_GBK" w:cs="Times New Roman"/>
          <w:sz w:val="32"/>
          <w:szCs w:val="32"/>
        </w:rPr>
        <w:t>2017</w:t>
      </w:r>
      <w:r>
        <w:rPr>
          <w:rFonts w:hint="eastAsia" w:ascii="方正仿宋_GBK" w:hAnsi="方正黑体_GBK" w:eastAsia="方正仿宋_GBK" w:cs="方正黑体_GBK"/>
          <w:sz w:val="32"/>
          <w:szCs w:val="32"/>
        </w:rPr>
        <w:t>〕</w:t>
      </w:r>
      <w:r>
        <w:rPr>
          <w:rFonts w:ascii="Times New Roman" w:hAnsi="Times New Roman" w:eastAsia="方正仿宋_GBK" w:cs="Times New Roman"/>
          <w:sz w:val="32"/>
          <w:szCs w:val="32"/>
        </w:rPr>
        <w:t>93</w:t>
      </w:r>
      <w:r>
        <w:rPr>
          <w:rFonts w:hint="eastAsia" w:ascii="方正仿宋_GBK" w:hAnsi="方正黑体_GBK" w:eastAsia="方正仿宋_GBK" w:cs="方正黑体_GBK"/>
          <w:sz w:val="32"/>
          <w:szCs w:val="32"/>
        </w:rPr>
        <w:t>号）</w:t>
      </w:r>
    </w:p>
    <w:p>
      <w:pPr>
        <w:spacing w:line="560" w:lineRule="exact"/>
        <w:jc w:val="center"/>
        <w:outlineLvl w:val="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hd w:val="clear" w:color="auto" w:fill="FFFFFF"/>
        <w:rPr>
          <w:rFonts w:ascii="方正仿宋_GBK" w:eastAsia="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瀹嬩綋">
    <w:altName w:val="Times New Roman"/>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w:pict>
        <v:line id="直接连接符 5" o:spid="_x0000_s1029"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path arrowok="t"/>
          <v:fill on="f" focussize="0,0"/>
          <v:stroke weight="1.75pt" color="#005192" miterlimit="8"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05pt;margin-top:54.35pt;height:0pt;width:442.55pt;z-index:251659264;mso-width-relative:page;mso-height-relative:page;"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rules v:ext="edit">
        <o:r id="V:Rule1" type="connector" idref="#直接连接符 5"/>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A77B3"/>
    <w:rsid w:val="000E3F71"/>
    <w:rsid w:val="00172A27"/>
    <w:rsid w:val="002C476B"/>
    <w:rsid w:val="003D44B0"/>
    <w:rsid w:val="004557D7"/>
    <w:rsid w:val="00644AEE"/>
    <w:rsid w:val="00666F71"/>
    <w:rsid w:val="00912C4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2D701F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1A30DF"/>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99</Words>
  <Characters>567</Characters>
  <Lines>4</Lines>
  <Paragraphs>1</Paragraphs>
  <TotalTime>0</TotalTime>
  <ScaleCrop>false</ScaleCrop>
  <LinksUpToDate>false</LinksUpToDate>
  <CharactersWithSpaces>665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2023-10-24T07:05:27Z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