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jc w:val="center"/>
        <w:textAlignment w:val="auto"/>
        <w:outlineLvl w:val="9"/>
        <w:rPr>
          <w:rFonts w:eastAsia="方正小标宋_GBK"/>
          <w:color w:val="auto"/>
          <w:sz w:val="44"/>
          <w:szCs w:val="44"/>
        </w:rPr>
      </w:pPr>
      <w:r>
        <w:rPr>
          <w:rFonts w:eastAsia="方正小标宋_GBK"/>
          <w:color w:val="auto"/>
          <w:sz w:val="44"/>
          <w:szCs w:val="44"/>
        </w:rPr>
        <w:t>关于调整我区高龄老人营养补贴标准及</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eastAsia="方正小标宋_GBK"/>
          <w:color w:val="auto"/>
          <w:sz w:val="44"/>
          <w:szCs w:val="44"/>
        </w:rPr>
        <w:t>发放范围的通知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Times New Roman" w:hAnsi="Times New Roman" w:eastAsia="方正仿宋_GBK" w:cs="Times New Roman"/>
          <w:color w:val="auto"/>
          <w:sz w:val="32"/>
          <w:szCs w:val="20"/>
        </w:rPr>
      </w:pPr>
      <w:r>
        <w:rPr>
          <w:rFonts w:hint="eastAsia" w:ascii="Times New Roman" w:hAnsi="Times New Roman" w:eastAsia="方正仿宋_GBK" w:cs="Times New Roman"/>
          <w:color w:val="auto"/>
          <w:sz w:val="32"/>
          <w:szCs w:val="20"/>
        </w:rPr>
        <w:t>长寿府办发〔2020〕</w:t>
      </w:r>
      <w:r>
        <w:rPr>
          <w:rFonts w:hint="eastAsia" w:ascii="Times New Roman" w:hAnsi="Times New Roman" w:eastAsia="方正仿宋_GBK" w:cs="Times New Roman"/>
          <w:color w:val="auto"/>
          <w:sz w:val="32"/>
          <w:szCs w:val="20"/>
          <w:lang w:val="en-US" w:eastAsia="zh-CN"/>
        </w:rPr>
        <w:t>113</w:t>
      </w:r>
      <w:r>
        <w:rPr>
          <w:rFonts w:hint="eastAsia" w:ascii="Times New Roman" w:hAnsi="Times New Roman" w:eastAsia="方正仿宋_GBK" w:cs="Times New Roman"/>
          <w:color w:val="auto"/>
          <w:sz w:val="32"/>
          <w:szCs w:val="20"/>
        </w:rPr>
        <w:t>号</w:t>
      </w:r>
    </w:p>
    <w:p>
      <w:pPr>
        <w:pStyle w:val="2"/>
        <w:keepNext w:val="0"/>
        <w:keepLines w:val="0"/>
        <w:pageBreakBefore w:val="0"/>
        <w:widowControl w:val="0"/>
        <w:kinsoku/>
        <w:overflowPunct/>
        <w:topLinePunct w:val="0"/>
        <w:bidi w:val="0"/>
        <w:spacing w:line="600" w:lineRule="exact"/>
        <w:textAlignment w:val="auto"/>
      </w:pPr>
    </w:p>
    <w:p>
      <w:pPr>
        <w:keepNext w:val="0"/>
        <w:keepLines w:val="0"/>
        <w:pageBreakBefore w:val="0"/>
        <w:widowControl w:val="0"/>
        <w:kinsoku/>
        <w:overflowPunct/>
        <w:topLinePunct w:val="0"/>
        <w:bidi w:val="0"/>
        <w:adjustRightInd w:val="0"/>
        <w:snapToGrid w:val="0"/>
        <w:spacing w:line="60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各街道办事处、镇人民政府，区政府各部门</w:t>
      </w:r>
      <w:r>
        <w:rPr>
          <w:rFonts w:ascii="Times New Roman" w:hAnsi="Times New Roman" w:eastAsia="方正仿宋_GBK" w:cs="Times New Roman"/>
          <w:color w:val="auto"/>
          <w:sz w:val="32"/>
          <w:szCs w:val="32"/>
          <w:shd w:val="clear" w:color="auto" w:fill="FFFFFF"/>
        </w:rPr>
        <w:t>，有关单位</w:t>
      </w:r>
      <w:r>
        <w:rPr>
          <w:rFonts w:ascii="Times New Roman" w:hAnsi="Times New Roman" w:eastAsia="方正仿宋_GBK" w:cs="Times New Roman"/>
          <w:color w:val="auto"/>
          <w:sz w:val="32"/>
          <w:szCs w:val="32"/>
        </w:rPr>
        <w:t>：</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为贯彻《中华人民共和国老年人权益保障法》，落实老龄人口优待政策，积极营造尊老、敬老、养老、助老的良好社会氛围。经区政府</w:t>
      </w:r>
      <w:r>
        <w:rPr>
          <w:rFonts w:hint="eastAsia" w:ascii="Times New Roman" w:hAnsi="Times New Roman" w:eastAsia="方正仿宋_GBK" w:cs="Times New Roman"/>
          <w:color w:val="auto"/>
          <w:sz w:val="32"/>
          <w:szCs w:val="32"/>
          <w:lang w:eastAsia="zh-CN"/>
        </w:rPr>
        <w:t>同意</w:t>
      </w:r>
      <w:r>
        <w:rPr>
          <w:rFonts w:ascii="Times New Roman" w:hAnsi="Times New Roman" w:eastAsia="方正仿宋_GBK" w:cs="Times New Roman"/>
          <w:color w:val="auto"/>
          <w:sz w:val="32"/>
          <w:szCs w:val="32"/>
        </w:rPr>
        <w:t>，将高龄老人营养补贴发放范围扩大至90岁以上</w:t>
      </w:r>
      <w:r>
        <w:rPr>
          <w:rFonts w:hint="eastAsia" w:ascii="Times New Roman" w:hAnsi="Times New Roman" w:eastAsia="方正仿宋_GBK" w:cs="Times New Roman"/>
          <w:color w:val="auto"/>
          <w:sz w:val="32"/>
          <w:szCs w:val="32"/>
          <w:lang w:eastAsia="zh-CN"/>
        </w:rPr>
        <w:t>并</w:t>
      </w:r>
      <w:r>
        <w:rPr>
          <w:rFonts w:ascii="Times New Roman" w:hAnsi="Times New Roman" w:eastAsia="方正仿宋_GBK" w:cs="Times New Roman"/>
          <w:color w:val="auto"/>
          <w:sz w:val="32"/>
          <w:szCs w:val="32"/>
        </w:rPr>
        <w:t>提高96岁以上老人营养补贴标准。现将有关事宜通知如下：</w:t>
      </w:r>
    </w:p>
    <w:p>
      <w:pPr>
        <w:keepNext w:val="0"/>
        <w:keepLines w:val="0"/>
        <w:pageBreakBefore w:val="0"/>
        <w:widowControl w:val="0"/>
        <w:numPr>
          <w:ilvl w:val="0"/>
          <w:numId w:val="1"/>
        </w:numPr>
        <w:kinsoku/>
        <w:overflowPunct/>
        <w:topLinePunct w:val="0"/>
        <w:bidi w:val="0"/>
        <w:adjustRightInd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补贴对象</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具有长寿区户籍的90岁以上（含90岁）老人。</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二、补贴标准</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ascii="Times New Roman" w:hAnsi="Times New Roman" w:eastAsia="方正仿宋_GBK" w:cs="Times New Roman"/>
          <w:color w:val="auto"/>
          <w:sz w:val="32"/>
          <w:szCs w:val="32"/>
        </w:rPr>
        <w:t>百岁以上老人营养补贴标准</w:t>
      </w:r>
      <w:r>
        <w:rPr>
          <w:rFonts w:hint="eastAsia" w:ascii="Times New Roman" w:hAnsi="Times New Roman" w:eastAsia="方正仿宋_GBK" w:cs="Times New Roman"/>
          <w:color w:val="auto"/>
          <w:sz w:val="32"/>
          <w:szCs w:val="32"/>
        </w:rPr>
        <w:t>为</w:t>
      </w:r>
      <w:r>
        <w:rPr>
          <w:rFonts w:ascii="Times New Roman" w:hAnsi="Times New Roman" w:eastAsia="方正仿宋_GBK" w:cs="Times New Roman"/>
          <w:color w:val="auto"/>
          <w:sz w:val="32"/>
          <w:szCs w:val="32"/>
        </w:rPr>
        <w:t>800元/月/人</w:t>
      </w:r>
      <w:r>
        <w:rPr>
          <w:rFonts w:hint="eastAsia" w:ascii="Times New Roman" w:hAnsi="Times New Roman" w:eastAsia="方正仿宋_GBK" w:cs="Times New Roman"/>
          <w:color w:val="auto"/>
          <w:sz w:val="32"/>
          <w:szCs w:val="32"/>
        </w:rPr>
        <w:t>；</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w:t>
      </w:r>
      <w:r>
        <w:rPr>
          <w:rFonts w:ascii="Times New Roman" w:hAnsi="Times New Roman" w:eastAsia="方正仿宋_GBK" w:cs="Times New Roman"/>
          <w:color w:val="auto"/>
          <w:sz w:val="32"/>
          <w:szCs w:val="32"/>
        </w:rPr>
        <w:t>96-99岁老人营养补贴标准</w:t>
      </w:r>
      <w:r>
        <w:rPr>
          <w:rFonts w:hint="eastAsia" w:ascii="Times New Roman" w:hAnsi="Times New Roman" w:eastAsia="方正仿宋_GBK" w:cs="Times New Roman"/>
          <w:color w:val="auto"/>
          <w:sz w:val="32"/>
          <w:szCs w:val="32"/>
        </w:rPr>
        <w:t>为</w:t>
      </w:r>
      <w:r>
        <w:rPr>
          <w:rFonts w:ascii="Times New Roman" w:hAnsi="Times New Roman" w:eastAsia="方正仿宋_GBK" w:cs="Times New Roman"/>
          <w:color w:val="auto"/>
          <w:sz w:val="32"/>
          <w:szCs w:val="32"/>
        </w:rPr>
        <w:t>200元/月/人</w:t>
      </w:r>
      <w:r>
        <w:rPr>
          <w:rFonts w:hint="eastAsia" w:ascii="Times New Roman" w:hAnsi="Times New Roman" w:eastAsia="方正仿宋_GBK" w:cs="Times New Roman"/>
          <w:color w:val="auto"/>
          <w:sz w:val="32"/>
          <w:szCs w:val="32"/>
        </w:rPr>
        <w:t>；</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ascii="Times New Roman" w:hAnsi="Times New Roman" w:eastAsia="方正仿宋_GBK" w:cs="Times New Roman"/>
          <w:color w:val="auto"/>
          <w:sz w:val="32"/>
          <w:szCs w:val="32"/>
        </w:rPr>
        <w:t>90-95岁老人营养补贴标准为100元/月/人。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三、申请程序</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新增</w:t>
      </w:r>
      <w:r>
        <w:rPr>
          <w:rFonts w:hint="eastAsia" w:ascii="Times New Roman" w:hAnsi="Times New Roman" w:eastAsia="方正仿宋_GBK" w:cs="Times New Roman"/>
          <w:color w:val="auto"/>
          <w:sz w:val="32"/>
          <w:szCs w:val="32"/>
        </w:rPr>
        <w:t>人员</w:t>
      </w:r>
      <w:r>
        <w:rPr>
          <w:rFonts w:ascii="Times New Roman" w:hAnsi="Times New Roman" w:eastAsia="方正仿宋_GBK" w:cs="Times New Roman"/>
          <w:color w:val="auto"/>
          <w:sz w:val="32"/>
          <w:szCs w:val="32"/>
        </w:rPr>
        <w:t>由本人</w:t>
      </w:r>
      <w:r>
        <w:rPr>
          <w:rFonts w:hint="eastAsia" w:ascii="Times New Roman" w:hAnsi="Times New Roman" w:eastAsia="方正仿宋_GBK" w:cs="Times New Roman"/>
          <w:color w:val="auto"/>
          <w:sz w:val="32"/>
          <w:szCs w:val="32"/>
          <w:lang w:eastAsia="zh-CN"/>
        </w:rPr>
        <w:t>或其直系亲属</w:t>
      </w:r>
      <w:r>
        <w:rPr>
          <w:rFonts w:ascii="Times New Roman" w:hAnsi="Times New Roman" w:eastAsia="方正仿宋_GBK" w:cs="Times New Roman"/>
          <w:color w:val="auto"/>
          <w:sz w:val="32"/>
          <w:szCs w:val="32"/>
        </w:rPr>
        <w:t>向</w:t>
      </w:r>
      <w:r>
        <w:rPr>
          <w:rFonts w:hint="eastAsia" w:ascii="Times New Roman" w:hAnsi="Times New Roman" w:eastAsia="方正仿宋_GBK" w:cs="Times New Roman"/>
          <w:color w:val="auto"/>
          <w:sz w:val="32"/>
          <w:szCs w:val="32"/>
          <w:lang w:eastAsia="zh-CN"/>
        </w:rPr>
        <w:t>户籍</w:t>
      </w:r>
      <w:r>
        <w:rPr>
          <w:rFonts w:ascii="Times New Roman" w:hAnsi="Times New Roman" w:eastAsia="方正仿宋_GBK" w:cs="Times New Roman"/>
          <w:color w:val="auto"/>
          <w:sz w:val="32"/>
          <w:szCs w:val="32"/>
        </w:rPr>
        <w:t>所在街镇提出申请，</w:t>
      </w:r>
      <w:r>
        <w:rPr>
          <w:rFonts w:hint="eastAsia" w:ascii="Times New Roman" w:hAnsi="Times New Roman" w:eastAsia="方正仿宋_GBK" w:cs="Times New Roman"/>
          <w:color w:val="auto"/>
          <w:sz w:val="32"/>
          <w:szCs w:val="32"/>
          <w:lang w:eastAsia="zh-CN"/>
        </w:rPr>
        <w:t>并</w:t>
      </w:r>
      <w:r>
        <w:rPr>
          <w:rFonts w:ascii="Times New Roman" w:hAnsi="Times New Roman" w:eastAsia="方正仿宋_GBK" w:cs="Times New Roman"/>
          <w:color w:val="auto"/>
          <w:sz w:val="32"/>
          <w:szCs w:val="32"/>
        </w:rPr>
        <w:t>附户口证明</w:t>
      </w:r>
      <w:r>
        <w:rPr>
          <w:rFonts w:hint="eastAsia" w:ascii="Times New Roman" w:hAnsi="Times New Roman" w:eastAsia="方正仿宋_GBK" w:cs="Times New Roman"/>
          <w:color w:val="auto"/>
          <w:sz w:val="32"/>
          <w:szCs w:val="32"/>
          <w:lang w:eastAsia="zh-CN"/>
        </w:rPr>
        <w:t>和</w:t>
      </w:r>
      <w:r>
        <w:rPr>
          <w:rFonts w:ascii="Times New Roman" w:hAnsi="Times New Roman" w:eastAsia="方正仿宋_GBK" w:cs="Times New Roman"/>
          <w:color w:val="auto"/>
          <w:sz w:val="32"/>
          <w:szCs w:val="32"/>
        </w:rPr>
        <w:t>身份证。街镇负责审查造册并上报</w:t>
      </w:r>
      <w:r>
        <w:rPr>
          <w:rFonts w:hint="eastAsia" w:ascii="Times New Roman" w:hAnsi="Times New Roman" w:eastAsia="方正仿宋_GBK" w:cs="Times New Roman"/>
          <w:color w:val="auto"/>
          <w:sz w:val="32"/>
          <w:szCs w:val="32"/>
        </w:rPr>
        <w:t>区民政局</w:t>
      </w:r>
      <w:r>
        <w:rPr>
          <w:rFonts w:ascii="Times New Roman" w:hAnsi="Times New Roman" w:eastAsia="方正仿宋_GBK" w:cs="Times New Roman"/>
          <w:color w:val="auto"/>
          <w:sz w:val="32"/>
          <w:szCs w:val="32"/>
        </w:rPr>
        <w:t>，由区民政局</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区财政局</w:t>
      </w:r>
      <w:r>
        <w:rPr>
          <w:rFonts w:hint="eastAsia" w:ascii="Times New Roman" w:hAnsi="Times New Roman" w:eastAsia="方正仿宋_GBK" w:cs="Times New Roman"/>
          <w:color w:val="auto"/>
          <w:sz w:val="32"/>
          <w:szCs w:val="32"/>
          <w:lang w:eastAsia="zh-CN"/>
        </w:rPr>
        <w:t>确认</w:t>
      </w:r>
      <w:r>
        <w:rPr>
          <w:rFonts w:ascii="Times New Roman" w:hAnsi="Times New Roman" w:eastAsia="方正仿宋_GBK" w:cs="Times New Roman"/>
          <w:color w:val="auto"/>
          <w:sz w:val="32"/>
          <w:szCs w:val="32"/>
        </w:rPr>
        <w:t>。</w:t>
      </w:r>
    </w:p>
    <w:p>
      <w:pPr>
        <w:keepNext w:val="0"/>
        <w:keepLines w:val="0"/>
        <w:pageBreakBefore w:val="0"/>
        <w:widowControl w:val="0"/>
        <w:kinsoku/>
        <w:overflowPunct/>
        <w:topLinePunct w:val="0"/>
        <w:bidi w:val="0"/>
        <w:adjustRightInd w:val="0"/>
        <w:snapToGrid w:val="0"/>
        <w:spacing w:line="600" w:lineRule="exact"/>
        <w:ind w:left="420" w:leftChars="200"/>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四、相关要求</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ascii="Times New Roman" w:hAnsi="Times New Roman" w:eastAsia="方正仿宋_GBK" w:cs="Times New Roman"/>
          <w:color w:val="auto"/>
          <w:sz w:val="32"/>
          <w:szCs w:val="32"/>
        </w:rPr>
        <w:t>高龄老人营养补贴</w:t>
      </w:r>
      <w:r>
        <w:rPr>
          <w:rFonts w:hint="eastAsia" w:ascii="Times New Roman" w:hAnsi="Times New Roman" w:eastAsia="方正仿宋_GBK" w:cs="Times New Roman"/>
          <w:color w:val="auto"/>
          <w:sz w:val="32"/>
          <w:szCs w:val="32"/>
          <w:lang w:eastAsia="zh-CN"/>
        </w:rPr>
        <w:t>申请当月计发，</w:t>
      </w:r>
      <w:r>
        <w:rPr>
          <w:rFonts w:hint="eastAsia" w:ascii="Times New Roman" w:hAnsi="Times New Roman" w:eastAsia="方正仿宋_GBK" w:cs="Times New Roman"/>
          <w:color w:val="auto"/>
          <w:sz w:val="32"/>
          <w:szCs w:val="32"/>
        </w:rPr>
        <w:t>按月发放</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当月去世的高龄老人从次月起取消补贴发放</w:t>
      </w:r>
      <w:r>
        <w:rPr>
          <w:rFonts w:ascii="Times New Roman" w:hAnsi="Times New Roman" w:eastAsia="方正仿宋_GBK" w:cs="Times New Roman"/>
          <w:color w:val="auto"/>
          <w:sz w:val="32"/>
          <w:szCs w:val="32"/>
        </w:rPr>
        <w:t>。</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w:t>
      </w:r>
      <w:r>
        <w:rPr>
          <w:rFonts w:ascii="Times New Roman" w:hAnsi="Times New Roman" w:eastAsia="方正仿宋_GBK" w:cs="Times New Roman"/>
          <w:color w:val="auto"/>
          <w:sz w:val="32"/>
          <w:szCs w:val="32"/>
        </w:rPr>
        <w:t>经费由区财政直接划拨</w:t>
      </w:r>
      <w:r>
        <w:rPr>
          <w:rFonts w:hint="eastAsia" w:ascii="Times New Roman" w:hAnsi="Times New Roman" w:eastAsia="方正仿宋_GBK" w:cs="Times New Roman"/>
          <w:color w:val="auto"/>
          <w:sz w:val="32"/>
          <w:szCs w:val="32"/>
        </w:rPr>
        <w:t>至</w:t>
      </w:r>
      <w:r>
        <w:rPr>
          <w:rFonts w:ascii="Times New Roman" w:hAnsi="Times New Roman" w:eastAsia="方正仿宋_GBK" w:cs="Times New Roman"/>
          <w:color w:val="auto"/>
          <w:sz w:val="32"/>
          <w:szCs w:val="32"/>
        </w:rPr>
        <w:t>街镇</w:t>
      </w:r>
      <w:r>
        <w:rPr>
          <w:rFonts w:hint="eastAsia" w:ascii="Times New Roman" w:hAnsi="Times New Roman" w:eastAsia="方正仿宋_GBK" w:cs="Times New Roman"/>
          <w:color w:val="auto"/>
          <w:sz w:val="32"/>
          <w:szCs w:val="32"/>
        </w:rPr>
        <w:t>，由街</w:t>
      </w:r>
      <w:bookmarkStart w:id="0" w:name="_GoBack"/>
      <w:bookmarkEnd w:id="0"/>
      <w:r>
        <w:rPr>
          <w:rFonts w:hint="eastAsia" w:ascii="Times New Roman" w:hAnsi="Times New Roman" w:eastAsia="方正仿宋_GBK" w:cs="Times New Roman"/>
          <w:color w:val="auto"/>
          <w:sz w:val="32"/>
          <w:szCs w:val="32"/>
        </w:rPr>
        <w:t>镇</w:t>
      </w:r>
      <w:r>
        <w:rPr>
          <w:rFonts w:ascii="Times New Roman" w:hAnsi="Times New Roman" w:eastAsia="方正仿宋_GBK" w:cs="Times New Roman"/>
          <w:color w:val="auto"/>
          <w:sz w:val="32"/>
          <w:szCs w:val="32"/>
        </w:rPr>
        <w:t>支付到</w:t>
      </w:r>
      <w:r>
        <w:rPr>
          <w:rFonts w:hint="eastAsia" w:ascii="Times New Roman" w:hAnsi="Times New Roman" w:eastAsia="方正仿宋_GBK" w:cs="Times New Roman"/>
          <w:color w:val="auto"/>
          <w:sz w:val="32"/>
          <w:szCs w:val="32"/>
        </w:rPr>
        <w:t>个</w:t>
      </w:r>
      <w:r>
        <w:rPr>
          <w:rFonts w:ascii="Times New Roman" w:hAnsi="Times New Roman" w:eastAsia="方正仿宋_GBK" w:cs="Times New Roman"/>
          <w:color w:val="auto"/>
          <w:sz w:val="32"/>
          <w:szCs w:val="32"/>
        </w:rPr>
        <w:t>人。</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五</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rPr>
        <w:t>施行时间</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本通知自</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21</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月1日</w:t>
      </w:r>
      <w:r>
        <w:rPr>
          <w:rFonts w:hint="eastAsia" w:ascii="Times New Roman" w:hAnsi="Times New Roman" w:eastAsia="方正仿宋_GBK" w:cs="Times New Roman"/>
          <w:color w:val="auto"/>
          <w:sz w:val="32"/>
          <w:szCs w:val="32"/>
        </w:rPr>
        <w:t>起施行</w:t>
      </w:r>
      <w:r>
        <w:rPr>
          <w:rFonts w:hint="eastAsia" w:ascii="Times New Roman" w:hAnsi="Times New Roman" w:eastAsia="方正仿宋_GBK" w:cs="Times New Roman"/>
          <w:color w:val="auto"/>
          <w:sz w:val="32"/>
          <w:szCs w:val="32"/>
          <w:lang w:eastAsia="zh-CN"/>
        </w:rPr>
        <w:t>。自施行之日起，</w:t>
      </w:r>
      <w:r>
        <w:rPr>
          <w:rFonts w:hint="eastAsia" w:ascii="Times New Roman" w:hAnsi="Times New Roman" w:eastAsia="方正仿宋_GBK" w:cs="Times New Roman"/>
          <w:color w:val="auto"/>
          <w:sz w:val="32"/>
          <w:szCs w:val="32"/>
        </w:rPr>
        <w:t>《重庆市长寿区人民政府办公室关于提高百岁老人营养补贴费标准及给予96-99岁高龄老人营养补贴的通知》（长寿府办发〔2011〕174号）废止</w:t>
      </w:r>
      <w:r>
        <w:rPr>
          <w:rFonts w:ascii="Times New Roman" w:hAnsi="Times New Roman" w:eastAsia="方正仿宋_GBK" w:cs="Times New Roman"/>
          <w:color w:val="auto"/>
          <w:sz w:val="32"/>
          <w:szCs w:val="32"/>
        </w:rPr>
        <w:t>。</w:t>
      </w:r>
    </w:p>
    <w:p>
      <w:pPr>
        <w:pStyle w:val="2"/>
        <w:keepNext w:val="0"/>
        <w:keepLines w:val="0"/>
        <w:pageBreakBefore w:val="0"/>
        <w:widowControl w:val="0"/>
        <w:kinsoku/>
        <w:overflowPunct/>
        <w:topLinePunct w:val="0"/>
        <w:bidi w:val="0"/>
        <w:spacing w:line="600" w:lineRule="exact"/>
        <w:textAlignment w:val="auto"/>
        <w:rPr>
          <w:rFonts w:ascii="Times New Roman" w:hAnsi="Times New Roman" w:eastAsia="方正仿宋_GBK" w:cs="Times New Roman"/>
          <w:color w:val="auto"/>
          <w:sz w:val="32"/>
          <w:szCs w:val="32"/>
        </w:rPr>
      </w:pPr>
    </w:p>
    <w:p>
      <w:pPr>
        <w:pStyle w:val="2"/>
        <w:keepNext w:val="0"/>
        <w:keepLines w:val="0"/>
        <w:pageBreakBefore w:val="0"/>
        <w:widowControl w:val="0"/>
        <w:kinsoku/>
        <w:overflowPunct/>
        <w:topLinePunct w:val="0"/>
        <w:bidi w:val="0"/>
        <w:spacing w:line="600" w:lineRule="exac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bidi w:val="0"/>
        <w:adjustRightInd w:val="0"/>
        <w:snapToGrid w:val="0"/>
        <w:spacing w:line="600" w:lineRule="exact"/>
        <w:ind w:firstLine="3840" w:firstLineChars="1200"/>
        <w:jc w:val="right"/>
        <w:textAlignment w:val="auto"/>
        <w:rPr>
          <w:rFonts w:hint="default"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重庆市长寿区人民政府办公室</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val="0"/>
        <w:overflowPunct/>
        <w:topLinePunct w:val="0"/>
        <w:bidi w:val="0"/>
        <w:spacing w:line="600" w:lineRule="exact"/>
        <w:ind w:firstLine="5097" w:firstLineChars="1593"/>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2020年1</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BEBA"/>
    <w:multiLevelType w:val="singleLevel"/>
    <w:tmpl w:val="1C41BE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D2DB6"/>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A783218"/>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