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00" w:lineRule="exact"/>
        <w:jc w:val="center"/>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重庆市长寿区生态环境保护综合行政执法支队</w:t>
      </w:r>
    </w:p>
    <w:p>
      <w:pPr>
        <w:snapToGrid w:val="0"/>
        <w:spacing w:line="500" w:lineRule="exact"/>
        <w:jc w:val="center"/>
        <w:rPr>
          <w:rFonts w:ascii="Times New Roman" w:hAnsi="Times New Roman" w:eastAsia="方正小标宋_GBK"/>
          <w:bCs/>
          <w:kern w:val="44"/>
          <w:sz w:val="44"/>
          <w:szCs w:val="44"/>
        </w:rPr>
      </w:pPr>
      <w:r>
        <w:rPr>
          <w:rFonts w:ascii="Times New Roman" w:hAnsi="Times New Roman" w:eastAsia="方正小标宋_GBK"/>
          <w:bCs/>
          <w:kern w:val="44"/>
          <w:sz w:val="44"/>
          <w:szCs w:val="44"/>
        </w:rPr>
        <w:t>行 政 处 罚 决 定 书</w:t>
      </w:r>
      <w:bookmarkEnd w:id="0"/>
    </w:p>
    <w:p>
      <w:pPr>
        <w:snapToGrid w:val="0"/>
        <w:spacing w:line="500" w:lineRule="exact"/>
        <w:jc w:val="center"/>
        <w:rPr>
          <w:rFonts w:ascii="Times New Roman" w:hAnsi="Times New Roman" w:eastAsia="方正仿宋_GBK"/>
          <w:bCs/>
          <w:kern w:val="44"/>
          <w:sz w:val="32"/>
          <w:szCs w:val="24"/>
        </w:rPr>
      </w:pPr>
      <w:r>
        <w:rPr>
          <w:rFonts w:ascii="Times New Roman" w:hAnsi="Times New Roman" w:eastAsia="方正仿宋_GBK"/>
          <w:bCs/>
          <w:kern w:val="44"/>
          <w:sz w:val="32"/>
          <w:szCs w:val="24"/>
        </w:rPr>
        <w:t>长环执罚〔202</w:t>
      </w:r>
      <w:r>
        <w:rPr>
          <w:rFonts w:hint="eastAsia" w:ascii="Times New Roman" w:hAnsi="Times New Roman" w:eastAsia="方正仿宋_GBK"/>
          <w:bCs/>
          <w:kern w:val="44"/>
          <w:sz w:val="32"/>
          <w:szCs w:val="24"/>
          <w:lang w:val="en-US" w:eastAsia="zh-CN"/>
        </w:rPr>
        <w:t>4</w:t>
      </w:r>
      <w:r>
        <w:rPr>
          <w:rFonts w:ascii="Times New Roman" w:hAnsi="Times New Roman" w:eastAsia="方正仿宋_GBK"/>
          <w:bCs/>
          <w:kern w:val="44"/>
          <w:sz w:val="32"/>
          <w:szCs w:val="24"/>
        </w:rPr>
        <w:t>〕</w:t>
      </w:r>
      <w:r>
        <w:rPr>
          <w:rFonts w:hint="eastAsia" w:ascii="Times New Roman" w:hAnsi="Times New Roman" w:eastAsia="方正仿宋_GBK"/>
          <w:bCs/>
          <w:kern w:val="44"/>
          <w:sz w:val="32"/>
          <w:szCs w:val="24"/>
          <w:lang w:val="en-US" w:eastAsia="zh-CN"/>
        </w:rPr>
        <w:t>14</w:t>
      </w:r>
      <w:r>
        <w:rPr>
          <w:rFonts w:ascii="Times New Roman" w:hAnsi="Times New Roman" w:eastAsia="方正仿宋_GBK"/>
          <w:bCs/>
          <w:kern w:val="44"/>
          <w:sz w:val="32"/>
          <w:szCs w:val="24"/>
        </w:rPr>
        <w:t>号</w:t>
      </w:r>
    </w:p>
    <w:p>
      <w:pPr>
        <w:snapToGrid w:val="0"/>
        <w:spacing w:line="500" w:lineRule="exact"/>
        <w:jc w:val="center"/>
        <w:rPr>
          <w:rFonts w:ascii="Times New Roman" w:hAnsi="Times New Roman" w:eastAsia="方正仿宋_GBK"/>
          <w:bCs/>
          <w:kern w:val="44"/>
          <w:sz w:val="32"/>
          <w:szCs w:val="24"/>
        </w:rPr>
      </w:pPr>
    </w:p>
    <w:p>
      <w:pPr>
        <w:widowControl w:val="0"/>
        <w:wordWrap/>
        <w:spacing w:line="500" w:lineRule="exact"/>
        <w:ind w:left="0" w:leftChars="0" w:right="0" w:firstLine="640" w:firstLineChars="200"/>
        <w:jc w:val="left"/>
        <w:textAlignment w:val="auto"/>
        <w:outlineLvl w:val="9"/>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拟处罚单位：重庆科奇家具制造有限公司</w:t>
      </w:r>
    </w:p>
    <w:p>
      <w:pPr>
        <w:widowControl w:val="0"/>
        <w:wordWrap/>
        <w:spacing w:line="500" w:lineRule="exact"/>
        <w:ind w:left="0" w:leftChars="0" w:right="0" w:firstLine="640" w:firstLineChars="200"/>
        <w:jc w:val="left"/>
        <w:textAlignment w:val="auto"/>
        <w:outlineLvl w:val="9"/>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 xml:space="preserve">法定代表人：何兴云                       </w:t>
      </w:r>
    </w:p>
    <w:p>
      <w:pPr>
        <w:spacing w:line="500" w:lineRule="exact"/>
        <w:ind w:firstLine="640" w:firstLineChars="200"/>
        <w:jc w:val="left"/>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 xml:space="preserve">统一社会信用代码：91500115MAABQ4UJ4E </w:t>
      </w:r>
    </w:p>
    <w:p>
      <w:pPr>
        <w:spacing w:line="500" w:lineRule="exact"/>
        <w:ind w:firstLine="640" w:firstLineChars="200"/>
        <w:jc w:val="left"/>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地</w:t>
      </w:r>
      <w:r>
        <w:rPr>
          <w:rFonts w:hint="eastAsia" w:ascii="Times New Roman" w:hAnsi="Times New Roman" w:eastAsia="方正仿宋_GBK"/>
          <w:sz w:val="32"/>
          <w:szCs w:val="24"/>
          <w:lang w:val="en-US" w:eastAsia="zh-CN"/>
        </w:rPr>
        <w:t xml:space="preserve"> </w:t>
      </w:r>
      <w:r>
        <w:rPr>
          <w:rFonts w:hint="eastAsia" w:ascii="Times New Roman" w:hAnsi="Times New Roman" w:eastAsia="方正仿宋_GBK"/>
          <w:sz w:val="32"/>
          <w:szCs w:val="24"/>
          <w:lang w:eastAsia="zh-CN"/>
        </w:rPr>
        <w:t>址： 重庆市长寿区新市街道寿乡大道2号</w:t>
      </w:r>
    </w:p>
    <w:p>
      <w:pPr>
        <w:spacing w:line="500" w:lineRule="exact"/>
        <w:ind w:firstLine="640" w:firstLineChars="200"/>
        <w:jc w:val="left"/>
        <w:rPr>
          <w:rFonts w:hint="eastAsia" w:ascii="Times New Roman" w:hAnsi="Times New Roman" w:eastAsia="方正仿宋_GBK"/>
          <w:sz w:val="32"/>
          <w:szCs w:val="24"/>
          <w:lang w:val="en-US" w:eastAsia="zh-CN"/>
        </w:rPr>
      </w:pPr>
    </w:p>
    <w:p>
      <w:pPr>
        <w:snapToGrid w:val="0"/>
        <w:spacing w:line="50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一、环境违法事实、证据和陈述申辩（听证）意见、采纳情况及裁量理由</w:t>
      </w:r>
    </w:p>
    <w:p>
      <w:pPr>
        <w:adjustRightInd w:val="0"/>
        <w:snapToGrid w:val="0"/>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2024年1月25日，重庆市长寿区生态环境保护综合行政执法支队执法人员现场检查发现，重庆科奇家具制造有限公司正常生产，3F水性喷漆房正在开展生产作业，产生废气污染物因子有总VOC</w:t>
      </w:r>
      <w:r>
        <w:rPr>
          <w:rFonts w:hint="eastAsia" w:ascii="Times New Roman" w:hAnsi="Times New Roman" w:eastAsia="方正仿宋_GBK"/>
          <w:sz w:val="32"/>
          <w:szCs w:val="32"/>
          <w:vertAlign w:val="subscript"/>
          <w:lang w:eastAsia="zh-CN"/>
        </w:rPr>
        <w:t>S</w:t>
      </w:r>
      <w:r>
        <w:rPr>
          <w:rFonts w:hint="eastAsia" w:ascii="Times New Roman" w:hAnsi="Times New Roman" w:eastAsia="方正仿宋_GBK"/>
          <w:sz w:val="32"/>
          <w:szCs w:val="32"/>
          <w:lang w:eastAsia="zh-CN"/>
        </w:rPr>
        <w:t>、颗粒物，其配套的“UV光解+活性炭吸附”污染防治设施未运行。</w:t>
      </w:r>
    </w:p>
    <w:p>
      <w:pPr>
        <w:adjustRightInd w:val="0"/>
        <w:snapToGrid w:val="0"/>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上述行为违反了</w:t>
      </w:r>
      <w:r>
        <w:rPr>
          <w:rFonts w:hint="eastAsia" w:ascii="Times New Roman" w:hAnsi="Times New Roman" w:eastAsia="方正仿宋_GBK"/>
          <w:sz w:val="32"/>
          <w:szCs w:val="32"/>
          <w:lang w:val="en-US" w:eastAsia="zh-CN"/>
        </w:rPr>
        <w:t>《中华人民共和国大气污染防治法》第四十五条</w:t>
      </w:r>
      <w:r>
        <w:rPr>
          <w:rFonts w:hint="eastAsia" w:ascii="Times New Roman" w:hAnsi="Times New Roman" w:eastAsia="方正仿宋_GBK"/>
          <w:sz w:val="32"/>
          <w:szCs w:val="32"/>
          <w:lang w:eastAsia="zh-CN"/>
        </w:rPr>
        <w:t>“产生含挥发性有机物废气的生产和服务活动，应当在密闭空间或者设备中进行，并按照规定安装、使用污染防治设施；无法密闭的，应当采取措施减少废气排放。”的规定，构成未按照规定使用污染防治设施的违法行为。</w:t>
      </w:r>
    </w:p>
    <w:p>
      <w:pPr>
        <w:adjustRightInd w:val="0"/>
        <w:snapToGrid w:val="0"/>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有下列证据为证：</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1、2024年1月25日，重庆市长寿区生态环境保护综合行政执法支队执法人员现场检查所作《现场检查（勘察）笔录》；</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2、2024年1月25日，重庆市长寿区生态环境保护综合行政执法支队执法人员现场检查时拍摄的《视听资料》；</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3、2024年2月1日，重庆市长寿区生态环境保护综合行政执法支队执法人员对重庆科奇家具制造有限公司管理员郑</w:t>
      </w:r>
      <w:r>
        <w:rPr>
          <w:rFonts w:hint="default" w:ascii="Arial" w:hAnsi="Arial" w:eastAsia="方正仿宋_GBK" w:cs="Arial"/>
          <w:sz w:val="32"/>
          <w:szCs w:val="32"/>
          <w:lang w:eastAsia="zh-CN"/>
        </w:rPr>
        <w:t>××</w:t>
      </w:r>
      <w:r>
        <w:rPr>
          <w:rFonts w:hint="eastAsia" w:ascii="Times New Roman" w:hAnsi="Times New Roman" w:eastAsia="方正仿宋_GBK"/>
          <w:sz w:val="32"/>
          <w:szCs w:val="32"/>
          <w:lang w:eastAsia="zh-CN"/>
        </w:rPr>
        <w:t>所作的《调查询问笔录》；</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4、2024年2月1日，重庆科奇家具制造有限公司提供的固定污染源排污登记回执、《环评批准书》（节选）。</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证据1-4证明2024年1月25日，重庆市长寿区生态环境保护综合行政执法支队执法人员现场检查发现，重庆科奇家具制造有限公司正常生产，3F水性喷漆房正在开展生产作业，产生废气污染物因子有总VOCS、颗粒物，由于生产时间短导致工人忘记打开其配套的“UV光解+活性炭吸附”污染防治设施。构成在产生含挥发性有机物废气的生产活动中，未按照规定使用污染防治设施的违法行为。</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5、2024年2月1日，重庆科奇家具制造有限公司管理员郑</w:t>
      </w:r>
      <w:r>
        <w:rPr>
          <w:rFonts w:hint="default" w:ascii="Arial" w:hAnsi="Arial" w:eastAsia="方正仿宋_GBK" w:cs="Arial"/>
          <w:sz w:val="32"/>
          <w:szCs w:val="32"/>
          <w:lang w:eastAsia="zh-CN"/>
        </w:rPr>
        <w:t>××</w:t>
      </w:r>
      <w:r>
        <w:rPr>
          <w:rFonts w:hint="eastAsia" w:ascii="Times New Roman" w:hAnsi="Times New Roman" w:eastAsia="方正仿宋_GBK"/>
          <w:sz w:val="32"/>
          <w:szCs w:val="32"/>
          <w:lang w:eastAsia="zh-CN"/>
        </w:rPr>
        <w:t>提供的其身份证复印件、授权委托书及营业执照复印件。</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证据5证明违法主体为重庆科奇家具制造有限公司，郑</w:t>
      </w:r>
      <w:r>
        <w:rPr>
          <w:rFonts w:hint="default" w:ascii="Arial" w:hAnsi="Arial" w:eastAsia="方正仿宋_GBK" w:cs="Arial"/>
          <w:sz w:val="32"/>
          <w:szCs w:val="32"/>
          <w:lang w:eastAsia="zh-CN"/>
        </w:rPr>
        <w:t>××</w:t>
      </w:r>
      <w:bookmarkStart w:id="1" w:name="_GoBack"/>
      <w:bookmarkEnd w:id="1"/>
      <w:r>
        <w:rPr>
          <w:rFonts w:hint="eastAsia" w:ascii="Times New Roman" w:hAnsi="Times New Roman" w:eastAsia="方正仿宋_GBK"/>
          <w:sz w:val="32"/>
          <w:szCs w:val="32"/>
          <w:lang w:eastAsia="zh-CN"/>
        </w:rPr>
        <w:t>为该公司管理员。</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6、2024年2月23日，重庆市长寿区生态环境保护综合行政执法支队执法人员现场检查所作《现场检查（勘察）笔录》。</w:t>
      </w:r>
    </w:p>
    <w:p>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证据6证明重庆科奇家具制造有限公司已停止违法行为。</w:t>
      </w:r>
    </w:p>
    <w:p>
      <w:pPr>
        <w:spacing w:line="5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查明的事实，重庆市长寿区生态环境保护综合行政执法支队于2024年3月28日向重庆科奇家具制造有限公司直接送达了《行政处罚事先（听证）告知书》（长环执告〔2024〕13号），告知陈述申辩权和听证申请权。重庆科奇家具制造有限公司在告知期限内未进行陈述申辩，也未申请听证。</w:t>
      </w:r>
    </w:p>
    <w:p>
      <w:pPr>
        <w:spacing w:line="5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重庆市长寿区生态环境保护综合行政执法支队认为：重庆科奇家具制造有限公司</w:t>
      </w:r>
      <w:r>
        <w:rPr>
          <w:rFonts w:hint="eastAsia" w:ascii="Times New Roman" w:hAnsi="Times New Roman" w:eastAsia="方正仿宋_GBK"/>
          <w:sz w:val="32"/>
          <w:szCs w:val="32"/>
          <w:lang w:eastAsia="zh-CN"/>
        </w:rPr>
        <w:t>停运污染防治设施未同时停运生产设施</w:t>
      </w:r>
      <w:r>
        <w:rPr>
          <w:rFonts w:hint="eastAsia" w:ascii="Times New Roman" w:hAnsi="Times New Roman" w:eastAsia="方正仿宋_GBK" w:cs="方正仿宋_GBK"/>
          <w:sz w:val="32"/>
          <w:szCs w:val="32"/>
          <w:lang w:val="en-US" w:eastAsia="zh-CN"/>
        </w:rPr>
        <w:t>的环境违法行为事实清楚，违反了</w:t>
      </w:r>
      <w:r>
        <w:rPr>
          <w:rFonts w:hint="eastAsia" w:ascii="Times New Roman" w:hAnsi="Times New Roman" w:eastAsia="方正仿宋_GBK"/>
          <w:sz w:val="32"/>
          <w:szCs w:val="32"/>
          <w:lang w:val="en-US" w:eastAsia="zh-CN"/>
        </w:rPr>
        <w:t>《中华人民共和国大气污染防治法》第四十五条</w:t>
      </w:r>
      <w:r>
        <w:rPr>
          <w:rFonts w:hint="eastAsia" w:ascii="Times New Roman" w:hAnsi="Times New Roman" w:eastAsia="方正仿宋_GBK" w:cs="方正仿宋_GBK"/>
          <w:sz w:val="32"/>
          <w:szCs w:val="32"/>
          <w:lang w:val="en-US" w:eastAsia="zh-CN"/>
        </w:rPr>
        <w:t>的规定，应当承担相应的法律责任。针对本次违法行为，重庆市长寿区生态环境保护综合行政执法支队依据《中华人民共和国大气污染防治法》第一百零八条第一项的规定予以处罚。参照《重庆市生态环境行政处罚裁量基准（2022年版）》的规定，综合考虑排污单位管理类别为登记管理；在密闭空间中进行，已安装但未按规定使用污染防治设施；两年内受到过一次生态环境行政处罚，罚款10万元以下，积极配合调查；整改措施已落实，违法主体为一般企业，本次违法无主观故意等情节，予以裁量。</w:t>
      </w:r>
    </w:p>
    <w:p>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重庆科奇家具制造有限公司</w:t>
      </w:r>
      <w:r>
        <w:rPr>
          <w:rFonts w:ascii="Times New Roman" w:hAnsi="Times New Roman" w:eastAsia="方正仿宋_GBK"/>
          <w:sz w:val="32"/>
          <w:szCs w:val="32"/>
        </w:rPr>
        <w:t>在本次处罚后应当引以为戒，认真学习并严格遵守环保法律法规，同时加强管理，落实各项措施，杜绝违法行为再次发生，为我市生态文明建设作出贡献。</w:t>
      </w:r>
    </w:p>
    <w:p>
      <w:pPr>
        <w:snapToGrid w:val="0"/>
        <w:spacing w:line="50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二、行政处罚的依据、种类及其履行方式、期限</w:t>
      </w:r>
    </w:p>
    <w:p>
      <w:pPr>
        <w:adjustRightInd w:val="0"/>
        <w:snapToGrid w:val="0"/>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w:t>
      </w:r>
      <w:r>
        <w:rPr>
          <w:rFonts w:hint="eastAsia" w:ascii="Times New Roman" w:hAnsi="Times New Roman" w:eastAsia="方正仿宋_GBK"/>
          <w:sz w:val="32"/>
          <w:szCs w:val="32"/>
        </w:rPr>
        <w:t>据</w:t>
      </w:r>
      <w:r>
        <w:rPr>
          <w:rFonts w:hint="eastAsia" w:ascii="Times New Roman" w:hAnsi="Times New Roman" w:eastAsia="方正仿宋_GBK" w:cs="方正仿宋_GBK"/>
          <w:sz w:val="32"/>
          <w:szCs w:val="32"/>
          <w:lang w:val="en-US" w:eastAsia="zh-CN"/>
        </w:rPr>
        <w:t>《中华人民共和国大气污染防治法》第一百零八条第一项</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Times New Roman" w:hAnsi="Times New Roman" w:eastAsia="方正仿宋_GBK"/>
          <w:sz w:val="32"/>
          <w:szCs w:val="32"/>
        </w:rPr>
        <w:t>”的规定，重庆市长寿区生态环境保护综合</w:t>
      </w:r>
      <w:r>
        <w:rPr>
          <w:rFonts w:ascii="Times New Roman" w:hAnsi="Times New Roman" w:eastAsia="方正仿宋_GBK"/>
          <w:sz w:val="32"/>
          <w:szCs w:val="32"/>
        </w:rPr>
        <w:t>行政执法支队对</w:t>
      </w:r>
      <w:r>
        <w:rPr>
          <w:rFonts w:hint="eastAsia" w:ascii="Times New Roman" w:hAnsi="Times New Roman" w:eastAsia="方正仿宋_GBK"/>
          <w:sz w:val="32"/>
          <w:szCs w:val="32"/>
          <w:lang w:eastAsia="zh-CN"/>
        </w:rPr>
        <w:t>重庆科奇家具制造有限公司</w:t>
      </w:r>
      <w:r>
        <w:rPr>
          <w:rFonts w:ascii="Times New Roman" w:hAnsi="Times New Roman" w:eastAsia="方正仿宋_GBK"/>
          <w:sz w:val="32"/>
          <w:szCs w:val="32"/>
        </w:rPr>
        <w:t>作出如下行政处罚：</w:t>
      </w:r>
    </w:p>
    <w:p>
      <w:pPr>
        <w:adjustRightInd w:val="0"/>
        <w:snapToGrid w:val="0"/>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罚款</w:t>
      </w:r>
      <w:r>
        <w:rPr>
          <w:rFonts w:hint="eastAsia" w:ascii="Times New Roman" w:hAnsi="Times New Roman" w:eastAsia="方正仿宋_GBK"/>
          <w:sz w:val="32"/>
          <w:szCs w:val="32"/>
          <w:lang w:eastAsia="zh-CN"/>
        </w:rPr>
        <w:t>叁万捌仟元</w:t>
      </w:r>
      <w:r>
        <w:rPr>
          <w:rFonts w:ascii="Times New Roman" w:hAnsi="Times New Roman" w:eastAsia="方正仿宋_GBK"/>
          <w:sz w:val="32"/>
          <w:szCs w:val="32"/>
        </w:rPr>
        <w:t>整。</w:t>
      </w:r>
    </w:p>
    <w:p>
      <w:pPr>
        <w:spacing w:line="5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罚款限于接到本处罚决定书之日起十五日内到指定银行缴纳。请及时与重庆市长寿区</w:t>
      </w:r>
      <w:r>
        <w:rPr>
          <w:rFonts w:hint="eastAsia" w:ascii="Times New Roman" w:hAnsi="Times New Roman" w:eastAsia="方正仿宋_GBK"/>
          <w:sz w:val="32"/>
          <w:szCs w:val="32"/>
          <w:lang w:eastAsia="zh-CN"/>
        </w:rPr>
        <w:t>生态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行政执法支队联系缴款票据开具事宜，联系电话：</w:t>
      </w:r>
      <w:r>
        <w:rPr>
          <w:rFonts w:hint="eastAsia" w:ascii="Times New Roman" w:hAnsi="Times New Roman" w:eastAsia="方正仿宋_GBK" w:cs="方正仿宋_GBK"/>
          <w:sz w:val="32"/>
          <w:szCs w:val="32"/>
        </w:rPr>
        <w:t>023-40463595。</w:t>
      </w:r>
      <w:r>
        <w:rPr>
          <w:rFonts w:hint="eastAsia" w:ascii="Times New Roman" w:hAnsi="Times New Roman" w:eastAsia="方正仿宋_GBK"/>
          <w:sz w:val="32"/>
          <w:szCs w:val="32"/>
        </w:rPr>
        <w:t>逾期不缴纳罚款，重庆市长寿区</w:t>
      </w:r>
      <w:r>
        <w:rPr>
          <w:rFonts w:hint="eastAsia" w:ascii="Times New Roman" w:hAnsi="Times New Roman" w:eastAsia="方正仿宋_GBK"/>
          <w:sz w:val="32"/>
          <w:szCs w:val="32"/>
          <w:lang w:eastAsia="zh-CN"/>
        </w:rPr>
        <w:t>生态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行政执法支队将依据《中华人民共和国行政处罚法》第</w:t>
      </w:r>
      <w:r>
        <w:rPr>
          <w:rFonts w:hint="eastAsia" w:ascii="Times New Roman" w:hAnsi="Times New Roman" w:eastAsia="方正仿宋_GBK"/>
          <w:sz w:val="32"/>
          <w:szCs w:val="32"/>
          <w:lang w:eastAsia="zh-CN"/>
        </w:rPr>
        <w:t>七十二</w:t>
      </w:r>
      <w:r>
        <w:rPr>
          <w:rFonts w:hint="eastAsia" w:ascii="Times New Roman" w:hAnsi="Times New Roman" w:eastAsia="方正仿宋_GBK"/>
          <w:sz w:val="32"/>
          <w:szCs w:val="32"/>
        </w:rPr>
        <w:t>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第一项的规定，</w:t>
      </w:r>
      <w:r>
        <w:rPr>
          <w:rFonts w:hint="eastAsia" w:ascii="Times New Roman" w:hAnsi="Times New Roman" w:eastAsia="方正仿宋_GBK"/>
          <w:sz w:val="32"/>
          <w:szCs w:val="32"/>
          <w:lang w:eastAsia="zh-CN"/>
        </w:rPr>
        <w:t>可以</w:t>
      </w:r>
      <w:r>
        <w:rPr>
          <w:rFonts w:hint="eastAsia" w:ascii="Times New Roman" w:hAnsi="Times New Roman" w:eastAsia="方正仿宋_GBK"/>
          <w:sz w:val="32"/>
          <w:szCs w:val="32"/>
        </w:rPr>
        <w:t>每日按罚款数额的</w:t>
      </w:r>
      <w:r>
        <w:rPr>
          <w:rFonts w:hint="eastAsia" w:ascii="Times New Roman" w:hAnsi="Times New Roman" w:eastAsia="方正仿宋_GBK" w:cs="方正仿宋_GBK"/>
          <w:sz w:val="32"/>
          <w:szCs w:val="32"/>
        </w:rPr>
        <w:t>3﹪</w:t>
      </w:r>
      <w:r>
        <w:rPr>
          <w:rFonts w:hint="eastAsia" w:ascii="Times New Roman" w:hAnsi="Times New Roman" w:eastAsia="方正仿宋_GBK"/>
          <w:sz w:val="32"/>
          <w:szCs w:val="32"/>
        </w:rPr>
        <w:t>加处罚款。</w:t>
      </w:r>
    </w:p>
    <w:p>
      <w:pPr>
        <w:snapToGrid w:val="0"/>
        <w:spacing w:line="500" w:lineRule="exact"/>
        <w:ind w:firstLine="643" w:firstLineChars="200"/>
        <w:rPr>
          <w:rFonts w:ascii="Times New Roman" w:hAnsi="Times New Roman" w:eastAsia="方正仿宋_GBK"/>
          <w:b/>
          <w:sz w:val="32"/>
          <w:szCs w:val="32"/>
        </w:rPr>
      </w:pPr>
      <w:r>
        <w:rPr>
          <w:rFonts w:hint="eastAsia" w:ascii="Times New Roman" w:hAnsi="Times New Roman" w:eastAsia="方正仿宋_GBK"/>
          <w:b/>
          <w:sz w:val="32"/>
          <w:szCs w:val="32"/>
        </w:rPr>
        <w:t>三、申请行政复议或者提起行政诉讼的途径和期限</w:t>
      </w:r>
    </w:p>
    <w:p>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如不服本处罚决定，可在收到本处罚决定书之日起六十日内向重庆市长寿区</w:t>
      </w:r>
      <w:r>
        <w:rPr>
          <w:rFonts w:hint="eastAsia" w:ascii="Times New Roman" w:hAnsi="Times New Roman" w:eastAsia="方正仿宋_GBK"/>
          <w:sz w:val="32"/>
          <w:szCs w:val="32"/>
          <w:lang w:eastAsia="zh-CN"/>
        </w:rPr>
        <w:t>人民政府</w:t>
      </w:r>
      <w:r>
        <w:rPr>
          <w:rFonts w:hint="eastAsia" w:ascii="Times New Roman" w:hAnsi="Times New Roman" w:eastAsia="方正仿宋_GBK"/>
          <w:sz w:val="32"/>
          <w:szCs w:val="32"/>
        </w:rPr>
        <w:t>申请复议，也可在六个月内直接向重庆市渝北区人民法院起诉。申请行政复议或者提起行政诉讼，不停止行政处罚决定的执行。</w:t>
      </w:r>
    </w:p>
    <w:p>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逾期不申请行政复议，也不提起行政诉讼，又不履行本处罚决定的，</w:t>
      </w:r>
      <w:r>
        <w:rPr>
          <w:rFonts w:hint="eastAsia" w:ascii="Times New Roman" w:hAnsi="Times New Roman" w:eastAsia="方正仿宋_GBK"/>
          <w:sz w:val="32"/>
          <w:szCs w:val="32"/>
          <w:lang w:eastAsia="zh-CN"/>
        </w:rPr>
        <w:t>我单位将依法</w:t>
      </w:r>
      <w:r>
        <w:rPr>
          <w:rFonts w:hint="eastAsia" w:ascii="Times New Roman" w:hAnsi="Times New Roman" w:eastAsia="方正仿宋_GBK"/>
          <w:sz w:val="32"/>
          <w:szCs w:val="32"/>
        </w:rPr>
        <w:t>申请人民法院强制执行。</w:t>
      </w:r>
      <w:r>
        <w:rPr>
          <w:rFonts w:ascii="Times New Roman" w:hAnsi="Times New Roman" w:eastAsia="方正仿宋_GBK"/>
          <w:sz w:val="32"/>
          <w:szCs w:val="32"/>
        </w:rPr>
        <w:t xml:space="preserve">    </w:t>
      </w:r>
    </w:p>
    <w:p>
      <w:pPr>
        <w:spacing w:line="500" w:lineRule="exact"/>
        <w:ind w:firstLine="640" w:firstLineChars="200"/>
        <w:rPr>
          <w:rFonts w:ascii="Times New Roman" w:hAnsi="Times New Roman" w:eastAsia="方正仿宋_GBK"/>
          <w:sz w:val="32"/>
          <w:szCs w:val="32"/>
        </w:rPr>
      </w:pP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00" w:lineRule="exact"/>
        <w:ind w:firstLine="2400" w:firstLineChars="750"/>
        <w:rPr>
          <w:rFonts w:ascii="Times New Roman" w:hAnsi="Times New Roman" w:eastAsia="方正仿宋_GBK"/>
          <w:sz w:val="32"/>
          <w:szCs w:val="32"/>
        </w:rPr>
      </w:pPr>
      <w:r>
        <w:rPr>
          <w:rFonts w:ascii="Times New Roman" w:hAnsi="Times New Roman" w:eastAsia="方正仿宋_GBK"/>
          <w:sz w:val="32"/>
          <w:szCs w:val="32"/>
        </w:rPr>
        <w:t>重庆市长寿区生态环境保护综合行政执法支队</w:t>
      </w: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日</w:t>
      </w:r>
    </w:p>
    <w:p>
      <w:pPr>
        <w:pStyle w:val="5"/>
        <w:shd w:val="clear" w:color="auto" w:fill="FFFFFF"/>
        <w:spacing w:before="225" w:beforeAutospacing="0" w:after="225" w:afterAutospacing="0" w:line="500" w:lineRule="exact"/>
        <w:ind w:firstLine="480"/>
        <w:rPr>
          <w:rFonts w:ascii="Times New Roman" w:hAnsi="Times New Roman" w:cs="Times New Roman"/>
          <w:color w:val="FF0000"/>
          <w:sz w:val="32"/>
          <w:szCs w:val="32"/>
        </w:rPr>
      </w:pPr>
    </w:p>
    <w:sectPr>
      <w:pgSz w:w="11906" w:h="16838"/>
      <w:pgMar w:top="1440" w:right="146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13534"/>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6B10F3E"/>
    <w:rsid w:val="07D37458"/>
    <w:rsid w:val="08660DD3"/>
    <w:rsid w:val="10B40DB1"/>
    <w:rsid w:val="12E44E0E"/>
    <w:rsid w:val="12EB6850"/>
    <w:rsid w:val="20162ACE"/>
    <w:rsid w:val="24DC03AD"/>
    <w:rsid w:val="25C0407C"/>
    <w:rsid w:val="25E113B8"/>
    <w:rsid w:val="27394563"/>
    <w:rsid w:val="28AF6CCE"/>
    <w:rsid w:val="2BE54292"/>
    <w:rsid w:val="2CB815F7"/>
    <w:rsid w:val="30753719"/>
    <w:rsid w:val="38576B45"/>
    <w:rsid w:val="3F3A354A"/>
    <w:rsid w:val="406D2642"/>
    <w:rsid w:val="44B930AC"/>
    <w:rsid w:val="45BF2A0F"/>
    <w:rsid w:val="47637BCC"/>
    <w:rsid w:val="4E2C56D7"/>
    <w:rsid w:val="5016478A"/>
    <w:rsid w:val="51AC310A"/>
    <w:rsid w:val="55A404F1"/>
    <w:rsid w:val="59E97212"/>
    <w:rsid w:val="5B4B7D53"/>
    <w:rsid w:val="5C4B69FC"/>
    <w:rsid w:val="5CAB1FD9"/>
    <w:rsid w:val="60665537"/>
    <w:rsid w:val="60767D50"/>
    <w:rsid w:val="624C781C"/>
    <w:rsid w:val="6592261F"/>
    <w:rsid w:val="664C23E4"/>
    <w:rsid w:val="6CB72263"/>
    <w:rsid w:val="6F876C7B"/>
    <w:rsid w:val="768F7791"/>
    <w:rsid w:val="7B0A21E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刘艳</cp:lastModifiedBy>
  <cp:lastPrinted>2024-04-07T02:49:00Z</cp:lastPrinted>
  <dcterms:modified xsi:type="dcterms:W3CDTF">2024-04-11T03:19:17Z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