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万顺府发〔</w:t>
      </w:r>
      <w:r>
        <w:rPr>
          <w:rFonts w:eastAsia="仿宋_GB2312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号</w:t>
      </w: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pict>
          <v:line id="直接连接符 3" o:spid="_x0000_s1026" style="position:absolute;left:0;margin-left:74.25pt;margin-top:312.95pt;height:0.05pt;width:442.2pt;mso-position-horizontal-relative:page;mso-position-vertical-relative:page;rotation:0f;z-index:251659264;" o:ole="f" fillcolor="#FFFFFF" filled="f" o:preferrelative="t" stroked="t" coordsize="21600,21600">
            <v:fill on="f" color2="#FFFFFF" focus="0%"/>
            <v:stroke weight="1.7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pict>
          <v:shape id="艺术字 87" o:spid="_x0000_s1027" type="#_x0000_t136" style="position:absolute;left:0;margin-top:99.25pt;height:53.85pt;width:411pt;mso-position-horizontal:center;mso-position-horizontal-relative:page;mso-position-vertical-relative:margin;rotation:0f;z-index:251658240;" o:ole="f" fillcolor="#FF0000" filled="t" o:preferrelative="t" stroked="f" coordorigin="0,0" coordsize="21600,21600" adj="10800">
            <v:imagedata gain="65536f" blacklevel="0f" gamma="0"/>
            <o:lock v:ext="edit" position="f" selection="f" grouping="f" rotation="f" cropping="f" text="f" aspectratio="f"/>
            <v:textpath on="t" fitshape="t" fitpath="t" trim="t" xscale="f" string="重庆市长寿区万顺镇人民政府文件" style="v-text-align:center;font-family:方正小标宋_GBK;font-size:36pt;font-weight:bold;"/>
          </v:shape>
        </w:pict>
      </w: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604" w:lineRule="exact"/>
        <w:jc w:val="center"/>
        <w:rPr>
          <w:rFonts w:eastAsia="方正小标宋_GBK"/>
          <w:bCs/>
          <w:color w:val="auto"/>
          <w:sz w:val="44"/>
          <w:szCs w:val="44"/>
        </w:rPr>
      </w:pPr>
      <w:r>
        <w:rPr>
          <w:rFonts w:eastAsia="方正小标宋_GBK"/>
          <w:bCs/>
          <w:color w:val="auto"/>
          <w:sz w:val="44"/>
          <w:szCs w:val="44"/>
        </w:rPr>
        <w:t>重庆市长寿区万顺镇人民政府</w:t>
      </w:r>
    </w:p>
    <w:p>
      <w:pPr>
        <w:pStyle w:val="5"/>
        <w:widowControl w:val="0"/>
        <w:wordWrap/>
        <w:adjustRightInd/>
        <w:snapToGrid/>
        <w:spacing w:line="700" w:lineRule="exact"/>
        <w:ind w:left="0" w:leftChars="0" w:right="0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</w:rPr>
        <w:t>关于印发《</w:t>
      </w:r>
      <w:r>
        <w:rPr>
          <w:rFonts w:hint="eastAsia" w:cs="Times New Roman"/>
          <w:lang w:eastAsia="zh-CN"/>
        </w:rPr>
        <w:t>万顺镇</w:t>
      </w:r>
      <w:r>
        <w:rPr>
          <w:rFonts w:hint="default" w:ascii="Times New Roman" w:hAnsi="Times New Roman" w:cs="Times New Roman"/>
        </w:rPr>
        <w:t>202</w:t>
      </w:r>
      <w:r>
        <w:rPr>
          <w:rFonts w:hint="eastAsia" w:cs="Times New Roman"/>
          <w:lang w:val="en-US" w:eastAsia="zh-CN"/>
        </w:rPr>
        <w:t>5年</w:t>
      </w:r>
      <w:r>
        <w:rPr>
          <w:rFonts w:hint="default" w:cs="Times New Roman"/>
          <w:lang w:eastAsia="zh-CN"/>
        </w:rPr>
        <w:t>科学施肥用药增效</w:t>
      </w:r>
      <w:r>
        <w:rPr>
          <w:rFonts w:hint="default" w:ascii="Times New Roman" w:hAnsi="Times New Roman" w:cs="Times New Roman"/>
        </w:rPr>
        <w:t>工作方案》的通知</w:t>
      </w:r>
    </w:p>
    <w:p>
      <w:pPr>
        <w:autoSpaceDE w:val="0"/>
        <w:autoSpaceDN w:val="0"/>
        <w:spacing w:line="604" w:lineRule="exact"/>
        <w:jc w:val="both"/>
        <w:rPr>
          <w:rFonts w:eastAsia="方正小标宋_GBK"/>
          <w:color w:val="auto"/>
          <w:spacing w:val="-20"/>
          <w:sz w:val="44"/>
          <w:szCs w:val="44"/>
        </w:rPr>
      </w:pPr>
    </w:p>
    <w:p>
      <w:pPr>
        <w:spacing w:line="604" w:lineRule="exact"/>
        <w:jc w:val="left"/>
        <w:rPr>
          <w:rFonts w:eastAsia="方正楷体_GBK"/>
          <w:color w:val="auto"/>
          <w:sz w:val="32"/>
          <w:szCs w:val="32"/>
        </w:rPr>
      </w:pPr>
      <w:r>
        <w:rPr>
          <w:rFonts w:eastAsia="方正楷体_GBK"/>
          <w:color w:val="auto"/>
          <w:sz w:val="32"/>
          <w:szCs w:val="32"/>
        </w:rPr>
        <w:t>各村民委员会：</w:t>
      </w:r>
    </w:p>
    <w:p>
      <w:pPr>
        <w:spacing w:line="604" w:lineRule="exact"/>
        <w:ind w:firstLine="640" w:firstLineChars="200"/>
        <w:rPr>
          <w:rFonts w:hint="eastAsia" w:ascii="Times New Roman" w:hAnsi="Times New Roman" w:eastAsia="方正楷体_GBK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40"/>
        </w:rPr>
        <w:t>为进一步巩固提升中央环保督察反馈问题整改成果，提高科 学施肥用药水平，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</w:rPr>
        <w:t>根据区农业农村委员会《关于印发＜重庆市长寿区2025年科学施肥用药增效工作方案</w:t>
      </w:r>
      <w:r>
        <w:rPr>
          <w:rFonts w:hint="eastAsia" w:eastAsia="方正楷体_GBK"/>
          <w:color w:val="auto"/>
          <w:sz w:val="32"/>
          <w:szCs w:val="40"/>
        </w:rPr>
        <w:t>＞的通知》（长寿农发〔202</w:t>
      </w:r>
      <w:r>
        <w:rPr>
          <w:rFonts w:hint="eastAsia" w:eastAsia="方正楷体_GBK"/>
          <w:color w:val="auto"/>
          <w:sz w:val="32"/>
          <w:szCs w:val="40"/>
          <w:lang w:val="en-US" w:eastAsia="zh-CN"/>
        </w:rPr>
        <w:t>5</w:t>
      </w:r>
      <w:r>
        <w:rPr>
          <w:rFonts w:hint="eastAsia" w:eastAsia="方正楷体_GBK"/>
          <w:color w:val="auto"/>
          <w:sz w:val="32"/>
          <w:szCs w:val="40"/>
        </w:rPr>
        <w:t>〕</w:t>
      </w:r>
      <w:r>
        <w:rPr>
          <w:rFonts w:hint="eastAsia" w:eastAsia="方正楷体_GBK"/>
          <w:color w:val="auto"/>
          <w:sz w:val="32"/>
          <w:szCs w:val="40"/>
          <w:lang w:val="en-US" w:eastAsia="zh-CN"/>
        </w:rPr>
        <w:t>70</w:t>
      </w:r>
      <w:r>
        <w:rPr>
          <w:rFonts w:hint="eastAsia" w:eastAsia="方正楷体_GBK"/>
          <w:color w:val="auto"/>
          <w:sz w:val="32"/>
          <w:szCs w:val="40"/>
        </w:rPr>
        <w:t>号）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</w:rPr>
        <w:t>文件要求，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40"/>
          <w:lang w:eastAsia="zh-CN"/>
        </w:rPr>
        <w:t>并结合我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eastAsia="zh-CN"/>
        </w:rPr>
        <w:t>镇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40"/>
          <w:lang w:eastAsia="zh-CN"/>
        </w:rPr>
        <w:t>生产实际，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特制定《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长寿区万顺镇2025年科学施肥用药增效工作方案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》，现印发给你们，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请遵照执行。</w:t>
      </w:r>
    </w:p>
    <w:p/>
    <w:p>
      <w:pPr>
        <w:pStyle w:val="2"/>
      </w:pPr>
    </w:p>
    <w:p>
      <w:pPr>
        <w:wordWrap w:val="0"/>
        <w:spacing w:line="560" w:lineRule="exact"/>
        <w:jc w:val="right"/>
        <w:rPr>
          <w:rFonts w:eastAsia="方正楷体_GBK"/>
          <w:color w:val="auto"/>
          <w:sz w:val="32"/>
          <w:szCs w:val="32"/>
        </w:rPr>
      </w:pPr>
      <w:r>
        <w:rPr>
          <w:rFonts w:eastAsia="方正楷体_GBK"/>
          <w:color w:val="auto"/>
          <w:sz w:val="32"/>
          <w:szCs w:val="32"/>
        </w:rPr>
        <w:t xml:space="preserve">重庆市长寿区万顺镇人民政府   </w:t>
      </w:r>
    </w:p>
    <w:p>
      <w:pPr>
        <w:wordWrap w:val="0"/>
        <w:spacing w:line="560" w:lineRule="exact"/>
        <w:jc w:val="center"/>
        <w:rPr>
          <w:rFonts w:eastAsia="方正楷体_GBK"/>
          <w:color w:val="auto"/>
          <w:sz w:val="32"/>
          <w:szCs w:val="32"/>
        </w:rPr>
      </w:pPr>
      <w:r>
        <w:rPr>
          <w:rFonts w:hint="eastAsia" w:eastAsia="方正楷体_GBK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eastAsia="方正楷体_GBK"/>
          <w:color w:val="auto"/>
          <w:sz w:val="32"/>
          <w:szCs w:val="32"/>
        </w:rPr>
        <w:t>20</w:t>
      </w:r>
      <w:r>
        <w:rPr>
          <w:rFonts w:hint="eastAsia" w:eastAsia="方正楷体_GBK"/>
          <w:color w:val="auto"/>
          <w:sz w:val="32"/>
          <w:szCs w:val="32"/>
          <w:lang w:val="en-US" w:eastAsia="zh-CN"/>
        </w:rPr>
        <w:t>25</w:t>
      </w:r>
      <w:r>
        <w:rPr>
          <w:rFonts w:eastAsia="方正楷体_GBK"/>
          <w:color w:val="auto"/>
          <w:sz w:val="32"/>
          <w:szCs w:val="32"/>
        </w:rPr>
        <w:t>年</w:t>
      </w:r>
      <w:r>
        <w:rPr>
          <w:rFonts w:hint="eastAsia" w:eastAsia="方正楷体_GBK"/>
          <w:color w:val="auto"/>
          <w:sz w:val="32"/>
          <w:szCs w:val="32"/>
          <w:lang w:val="en-US" w:eastAsia="zh-CN"/>
        </w:rPr>
        <w:t>8</w:t>
      </w:r>
      <w:r>
        <w:rPr>
          <w:rFonts w:eastAsia="方正楷体_GBK"/>
          <w:color w:val="auto"/>
          <w:sz w:val="32"/>
          <w:szCs w:val="32"/>
        </w:rPr>
        <w:t>月</w:t>
      </w:r>
      <w:r>
        <w:rPr>
          <w:rFonts w:hint="eastAsia" w:eastAsia="方正楷体_GBK"/>
          <w:color w:val="auto"/>
          <w:sz w:val="32"/>
          <w:szCs w:val="32"/>
          <w:lang w:val="en-US" w:eastAsia="zh-CN"/>
        </w:rPr>
        <w:t>22</w:t>
      </w:r>
      <w:r>
        <w:rPr>
          <w:rFonts w:eastAsia="方正楷体_GBK"/>
          <w:color w:val="auto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lang w:val="en-US" w:eastAsia="zh-CN"/>
        </w:rPr>
      </w:pPr>
    </w:p>
    <w:p>
      <w:pPr>
        <w:rPr>
          <w:rFonts w:eastAsia="方正楷体_GBK"/>
          <w:color w:val="auto"/>
          <w:sz w:val="32"/>
          <w:szCs w:val="32"/>
        </w:rPr>
      </w:pPr>
    </w:p>
    <w:p>
      <w:pPr>
        <w:pStyle w:val="4"/>
        <w:rPr>
          <w:rFonts w:eastAsia="方正楷体_GBK"/>
          <w:color w:val="auto"/>
          <w:sz w:val="32"/>
          <w:szCs w:val="32"/>
        </w:rPr>
      </w:pPr>
    </w:p>
    <w:p>
      <w:pPr>
        <w:rPr>
          <w:rFonts w:eastAsia="方正楷体_GBK"/>
          <w:color w:val="auto"/>
          <w:sz w:val="32"/>
          <w:szCs w:val="32"/>
        </w:rPr>
      </w:pPr>
    </w:p>
    <w:p>
      <w:pPr>
        <w:pStyle w:val="4"/>
        <w:rPr>
          <w:rFonts w:eastAsia="方正楷体_GBK"/>
          <w:color w:val="auto"/>
          <w:sz w:val="32"/>
          <w:szCs w:val="32"/>
        </w:rPr>
      </w:pPr>
    </w:p>
    <w:p/>
    <w:p>
      <w:pPr>
        <w:rPr>
          <w:rFonts w:eastAsia="方正楷体_GBK"/>
          <w:color w:val="auto"/>
          <w:sz w:val="32"/>
          <w:szCs w:val="32"/>
        </w:rPr>
      </w:pPr>
    </w:p>
    <w:p>
      <w:pPr>
        <w:rPr>
          <w:rFonts w:eastAsia="方正楷体_GBK"/>
          <w:color w:val="auto"/>
          <w:sz w:val="32"/>
          <w:szCs w:val="32"/>
        </w:rPr>
      </w:pPr>
    </w:p>
    <w:p>
      <w:pPr>
        <w:rPr>
          <w:rFonts w:eastAsia="方正楷体_GBK"/>
          <w:color w:val="auto"/>
          <w:sz w:val="32"/>
          <w:szCs w:val="32"/>
        </w:rPr>
      </w:pPr>
    </w:p>
    <w:p>
      <w:pPr>
        <w:rPr>
          <w:rFonts w:eastAsia="方正楷体_GBK"/>
          <w:color w:val="auto"/>
          <w:sz w:val="32"/>
          <w:szCs w:val="32"/>
        </w:rPr>
      </w:pPr>
    </w:p>
    <w:p>
      <w:pPr>
        <w:rPr>
          <w:rFonts w:eastAsia="方正楷体_GBK"/>
          <w:color w:val="auto"/>
          <w:sz w:val="32"/>
          <w:szCs w:val="32"/>
        </w:rPr>
      </w:pPr>
    </w:p>
    <w:p>
      <w:pPr>
        <w:pStyle w:val="2"/>
        <w:rPr>
          <w:rFonts w:eastAsia="方正楷体_GBK"/>
          <w:color w:val="auto"/>
          <w:sz w:val="32"/>
          <w:szCs w:val="32"/>
        </w:rPr>
      </w:pPr>
    </w:p>
    <w:p>
      <w:pPr>
        <w:rPr>
          <w:rFonts w:eastAsia="方正楷体_GBK"/>
          <w:color w:val="auto"/>
          <w:sz w:val="32"/>
          <w:szCs w:val="32"/>
        </w:rPr>
      </w:pPr>
    </w:p>
    <w:p>
      <w:pPr>
        <w:pStyle w:val="2"/>
        <w:rPr>
          <w:rFonts w:eastAsia="方正楷体_GBK"/>
          <w:color w:val="auto"/>
          <w:sz w:val="32"/>
          <w:szCs w:val="32"/>
        </w:rPr>
      </w:pPr>
    </w:p>
    <w:p>
      <w:pPr>
        <w:rPr>
          <w:rFonts w:eastAsia="方正楷体_GBK"/>
          <w:color w:val="auto"/>
          <w:sz w:val="32"/>
          <w:szCs w:val="32"/>
        </w:rPr>
      </w:pPr>
    </w:p>
    <w:p>
      <w:pPr>
        <w:pStyle w:val="2"/>
        <w:rPr>
          <w:rFonts w:eastAsia="方正楷体_GBK"/>
          <w:color w:val="auto"/>
          <w:sz w:val="32"/>
          <w:szCs w:val="32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rPr>
          <w:rFonts w:hint="eastAsia"/>
        </w:rPr>
      </w:pPr>
    </w:p>
    <w:p>
      <w:pPr>
        <w:widowControl/>
        <w:pBdr>
          <w:top w:val="single" w:color="auto" w:sz="4" w:space="1"/>
          <w:bottom w:val="single" w:color="auto" w:sz="8" w:space="1"/>
        </w:pBdr>
        <w:spacing w:line="594" w:lineRule="exact"/>
        <w:ind w:firstLine="280" w:firstLineChars="1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长寿区万顺镇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基层治理综合指挥室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</w:p>
    <w:p>
      <w:pPr>
        <w:pStyle w:val="5"/>
        <w:widowControl w:val="0"/>
        <w:wordWrap/>
        <w:adjustRightInd/>
        <w:snapToGrid/>
        <w:spacing w:line="700" w:lineRule="exact"/>
        <w:textAlignment w:val="auto"/>
        <w:rPr>
          <w:rFonts w:hint="default" w:cs="Times New Roman"/>
          <w:lang w:eastAsia="zh-CN"/>
        </w:rPr>
      </w:pPr>
      <w:r>
        <w:rPr>
          <w:rFonts w:hint="default" w:ascii="Times New Roman" w:hAnsi="Times New Roman" w:cs="Times New Roman"/>
        </w:rPr>
        <w:t>长寿区</w:t>
      </w:r>
      <w:r>
        <w:rPr>
          <w:rFonts w:hint="eastAsia" w:cs="Times New Roman"/>
          <w:lang w:eastAsia="zh-CN"/>
        </w:rPr>
        <w:t>万顺镇</w:t>
      </w:r>
      <w:r>
        <w:rPr>
          <w:rFonts w:hint="default" w:cs="Times New Roman"/>
          <w:lang w:eastAsia="zh-CN"/>
        </w:rPr>
        <w:t>2025年科学施肥用药增效</w:t>
      </w:r>
    </w:p>
    <w:p>
      <w:pPr>
        <w:pStyle w:val="5"/>
        <w:widowControl w:val="0"/>
        <w:wordWrap/>
        <w:adjustRightInd/>
        <w:snapToGrid/>
        <w:spacing w:line="700" w:lineRule="exact"/>
        <w:textAlignment w:val="auto"/>
        <w:rPr>
          <w:rFonts w:hint="default" w:cs="Times New Roman"/>
          <w:lang w:eastAsia="zh-CN"/>
        </w:rPr>
      </w:pPr>
      <w:r>
        <w:rPr>
          <w:rFonts w:hint="default" w:cs="Times New Roman"/>
          <w:lang w:eastAsia="zh-CN"/>
        </w:rPr>
        <w:t>工作方案</w:t>
      </w:r>
    </w:p>
    <w:p>
      <w:pPr>
        <w:widowControl w:val="0"/>
        <w:wordWrap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为进一步巩固提升中央环保督察反馈问题整改成果，提高科 学施肥用药水平，按照区农业农村委员会《关于印发＜重庆市长寿区2025年科学施肥用药增效工作方案＞的通知》（长寿农发〔202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</w:rPr>
        <w:t>号）文件要求，结合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万顺镇</w:t>
      </w:r>
      <w:r>
        <w:rPr>
          <w:rFonts w:hint="default" w:ascii="Times New Roman" w:hAnsi="Times New Roman" w:eastAsia="方正仿宋_GBK" w:cs="Times New Roman"/>
          <w:sz w:val="32"/>
        </w:rPr>
        <w:t>农业实际，特制定本方案。</w:t>
      </w:r>
    </w:p>
    <w:p>
      <w:pPr>
        <w:widowControl w:val="0"/>
        <w:wordWrap/>
        <w:spacing w:beforeLines="0" w:beforeAutospacing="0" w:afterLines="0" w:afterAutospacing="0" w:line="594" w:lineRule="exact"/>
        <w:ind w:right="0"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  <w:t>一、工作目标</w:t>
      </w:r>
    </w:p>
    <w:p>
      <w:pPr>
        <w:widowControl w:val="0"/>
        <w:wordWrap/>
        <w:spacing w:beforeLines="0" w:beforeAutospacing="0" w:afterLines="0" w:afterAutospacing="0" w:line="594" w:lineRule="exact"/>
        <w:ind w:right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以单位面积施肥用药量较高的地区、作物和新型经营主体为 重点，因地制宜推广配方肥、有机肥、水肥一体化、秸秆还田、 绿肥栽培等科学施肥和绿色防控、统防统治、科学用药等化学农 药减量技术，力争全区今年化肥农药使用量不高于去年。</w:t>
      </w:r>
    </w:p>
    <w:p>
      <w:pPr>
        <w:widowControl w:val="0"/>
        <w:wordWrap/>
        <w:spacing w:beforeLines="0" w:beforeAutospacing="0" w:afterLines="0" w:afterAutospacing="0" w:line="594" w:lineRule="exact"/>
        <w:ind w:right="0"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color w:val="000000"/>
          <w:kern w:val="44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  <w:t>二、深入推进科学施肥</w:t>
      </w:r>
      <w:r>
        <w:rPr>
          <w:rFonts w:hint="eastAsia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  <w:t xml:space="preserve">       </w:t>
      </w:r>
    </w:p>
    <w:p>
      <w:pPr>
        <w:widowControl w:val="0"/>
        <w:wordWrap/>
        <w:adjustRightInd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（一）巩固拓展测土配方施肥基础工作。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以测土配方施肥数据为基础，鼓励新型经营主体注册应用智能化施肥推荐专家系统（NE）生成农户施肥方案。引导配方肥进街镇农资店，拓宽普通农户购买配方肥产品渠道。鼓励开展整村“统测、统配、统供、统施”科学施肥服务。</w:t>
      </w:r>
    </w:p>
    <w:p>
      <w:pPr>
        <w:widowControl w:val="0"/>
        <w:wordWrap/>
        <w:adjustRightInd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（二）做好科学施肥示范推广。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积极统筹绿色高产高效项目，加大“机械深施肥”“水肥一体化”和“无人机施肥”为核心的“三新”配套技术推广力度。大力推广有机替代、绿肥种植、秸秆还田等多元替代技术，配合水肥一体化设备、无人机、种肥同播机、开沟施肥机等机具进一步促进肥料高效利用。探索推广主要农作物化肥定额制，开展示范技术与传统施肥模式效果比对监测。</w:t>
      </w:r>
    </w:p>
    <w:p>
      <w:pPr>
        <w:widowControl w:val="0"/>
        <w:wordWrap/>
        <w:adjustRightInd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（三）宣传培训引导带动。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区农委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等持续强化科学施肥技术宣传培训力度，以科学施肥达到化肥减量目的。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级召开技术培训会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2次，培训专业技术人员、肥料经销商、规模种植户。各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村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召开技术培训会2次，重点培训辖区内规模种植户实现培训全覆盖。</w:t>
      </w:r>
    </w:p>
    <w:p>
      <w:pPr>
        <w:widowControl w:val="0"/>
        <w:wordWrap/>
        <w:spacing w:beforeLines="0" w:beforeAutospacing="0" w:afterLines="0" w:afterAutospacing="0" w:line="594" w:lineRule="exact"/>
        <w:ind w:right="0" w:firstLine="640" w:firstLineChars="200"/>
        <w:jc w:val="both"/>
        <w:textAlignment w:val="auto"/>
        <w:outlineLvl w:val="0"/>
        <w:rPr>
          <w:rFonts w:hint="eastAsia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  <w:t>三、</w:t>
      </w:r>
      <w:r>
        <w:rPr>
          <w:rFonts w:hint="eastAsia" w:ascii="Times New Roman" w:hAnsi="Times New Roman" w:eastAsia="方正黑体_GBK" w:cs="Times New Roman"/>
          <w:kern w:val="44"/>
          <w:sz w:val="32"/>
          <w:szCs w:val="24"/>
          <w:lang w:val="en-US" w:eastAsia="zh-CN" w:bidi="ar-SA"/>
        </w:rPr>
        <w:t>深入推进科学用药</w:t>
      </w:r>
    </w:p>
    <w:p>
      <w:pPr>
        <w:widowControl w:val="0"/>
        <w:wordWrap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auto"/>
        <w:rPr>
          <w:rFonts w:hint="eastAsia" w:ascii="方正仿宋_GBK" w:hAnsi="等线" w:eastAsia="方正仿宋_GBK" w:cs="等线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（一）强化</w:t>
      </w:r>
      <w:r>
        <w:rPr>
          <w:rFonts w:ascii="方正楷体_GBK" w:hAnsi="方正楷体_GBK" w:eastAsia="方正楷体_GBK" w:cs="方正楷体_GBK"/>
          <w:sz w:val="32"/>
          <w:szCs w:val="32"/>
        </w:rPr>
        <w:t>农作物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病虫疫情</w:t>
      </w:r>
      <w:r>
        <w:rPr>
          <w:rFonts w:ascii="方正楷体_GBK" w:hAnsi="方正楷体_GBK" w:eastAsia="方正楷体_GBK" w:cs="方正楷体_GBK"/>
          <w:sz w:val="32"/>
          <w:szCs w:val="32"/>
        </w:rPr>
        <w:t>监测预警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。</w:t>
      </w:r>
      <w:r>
        <w:rPr>
          <w:rFonts w:hint="eastAsia" w:ascii="方正仿宋_GBK" w:hAnsi="等线" w:eastAsia="方正仿宋_GBK" w:cs="等线"/>
          <w:sz w:val="32"/>
          <w:szCs w:val="32"/>
        </w:rPr>
        <w:t>充分利用</w:t>
      </w:r>
      <w:r>
        <w:rPr>
          <w:rFonts w:hint="eastAsia" w:ascii="方正仿宋_GBK" w:hAnsi="等线" w:eastAsia="方正仿宋_GBK" w:cs="等线"/>
          <w:sz w:val="32"/>
          <w:szCs w:val="32"/>
          <w:lang w:eastAsia="zh-CN"/>
        </w:rPr>
        <w:t>全镇</w:t>
      </w:r>
      <w:r>
        <w:rPr>
          <w:rFonts w:hint="eastAsia" w:ascii="方正仿宋_GBK" w:hAnsi="等线" w:eastAsia="方正仿宋_GBK" w:cs="等线"/>
          <w:sz w:val="32"/>
          <w:szCs w:val="32"/>
          <w:lang w:val="en-US" w:eastAsia="zh-CN"/>
        </w:rPr>
        <w:t>5个农作物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病虫害监测点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其中：实蝇监测点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个，柑橘溃疡病监测点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hAnsi="等线" w:eastAsia="方正仿宋_GBK" w:cs="等线"/>
          <w:sz w:val="32"/>
          <w:szCs w:val="32"/>
        </w:rPr>
        <w:t>强化病虫发生趋势会商研判，做到早发现、早防治与精准防控。</w:t>
      </w:r>
    </w:p>
    <w:p>
      <w:pPr>
        <w:widowControl w:val="0"/>
        <w:wordWrap/>
        <w:adjustRightInd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ascii="方正楷体_GBK" w:hAnsi="方正楷体_GBK" w:eastAsia="方正楷体_GBK" w:cs="方正楷体_GBK"/>
          <w:sz w:val="32"/>
          <w:szCs w:val="32"/>
        </w:rPr>
        <w:t>强化绿色防控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与</w:t>
      </w:r>
      <w:r>
        <w:rPr>
          <w:rFonts w:ascii="方正楷体_GBK" w:hAnsi="方正楷体_GBK" w:eastAsia="方正楷体_GBK" w:cs="方正楷体_GBK"/>
          <w:sz w:val="32"/>
          <w:szCs w:val="32"/>
        </w:rPr>
        <w:t>统防统治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建立绿色防控示范区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  <w:t>结合长寿区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年部级水稻高产高效行动项目，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/>
        </w:rPr>
        <w:t>在全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/>
        </w:rPr>
        <w:t>打造水稻绿色高产高效示范基地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800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/>
        </w:rPr>
        <w:t>亩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</w:rPr>
        <w:t>主要农作物病虫害绿色防控覆盖率保持在56%以上，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病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</w:rPr>
        <w:t>虫害危害损失率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控制在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</w:rPr>
        <w:t>5%以下。</w:t>
      </w: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</w:rPr>
        <w:t>推进专业化统防统治。全方位加大对专业化防治服务组织的扶持力度，扶持一批专业化统防统治组织，因地制宜推广全程承包和应急防治技术服务，确保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eastAsia="zh-CN"/>
        </w:rPr>
        <w:t>三大粮食作物病虫害统防统治覆盖率达到46.5%以上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</w:rPr>
        <w:t>。</w:t>
      </w: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eastAsia="zh-CN"/>
        </w:rPr>
        <w:t>是加快推广绿色防控模式。各村要根据产业发展实际，集成应用以生态区域为单元、作物全程生产为主线的农药减量增效技术模式。</w:t>
      </w:r>
    </w:p>
    <w:p>
      <w:pPr>
        <w:widowControl w:val="0"/>
        <w:wordWrap/>
        <w:adjustRightInd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（三）推进科学安全用药。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eastAsia="zh-CN"/>
        </w:rPr>
        <w:t>要加大农药科学安全使用技术宣传引导力度，针对辖区内重点地区、作物、病虫害、种植户，推广应用高效低风险低残留农药、高效植保机械、农药减量助剂等技术措施，减少化学农药使用。</w:t>
      </w:r>
    </w:p>
    <w:p>
      <w:pPr>
        <w:widowControl w:val="0"/>
        <w:wordWrap/>
        <w:adjustRightInd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eastAsia="zh-CN"/>
        </w:rPr>
        <w:t>镇政府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配齐配强植保专业技术人员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eastAsia="zh-CN"/>
        </w:rPr>
        <w:t>，加强化学农药使用强度、病虫害危害损失率等调查与测算，确保化学农药使用强度粮食作物比“十三五”期间降低5%、经济作物比“十三五”期间降低 10%，粮食作物病虫害危害损失率控制在5%以内。同时，督促指导农药经销商及时回收农药包装废弃物。</w:t>
      </w:r>
    </w:p>
    <w:p>
      <w:pPr>
        <w:widowControl w:val="0"/>
        <w:wordWrap/>
        <w:adjustRightInd w:val="0"/>
        <w:snapToGrid w:val="0"/>
        <w:spacing w:line="594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四、强化组织保障</w:t>
      </w:r>
    </w:p>
    <w:p>
      <w:pPr>
        <w:widowControl w:val="0"/>
        <w:wordWrap/>
        <w:adjustRightInd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（一）强化组织领导</w:t>
      </w:r>
      <w:r>
        <w:rPr>
          <w:rFonts w:hint="default" w:ascii="Times New Roman" w:hAnsi="Times New Roman" w:eastAsia="方正仿宋_GBK" w:cs="Times New Roman"/>
          <w:sz w:val="32"/>
        </w:rPr>
        <w:t>。成立由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镇行政</w:t>
      </w:r>
      <w:r>
        <w:rPr>
          <w:rFonts w:hint="default" w:ascii="Times New Roman" w:hAnsi="Times New Roman" w:eastAsia="方正仿宋_GBK" w:cs="Times New Roman"/>
          <w:sz w:val="32"/>
        </w:rPr>
        <w:t>主要领导任组长，分管领导为副组长，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产业服务中心、各村</w:t>
      </w:r>
      <w:r>
        <w:rPr>
          <w:rFonts w:hint="default" w:ascii="Times New Roman" w:hAnsi="Times New Roman" w:eastAsia="方正仿宋_GBK" w:cs="Times New Roman"/>
          <w:sz w:val="32"/>
        </w:rPr>
        <w:t>为成员单位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的工作协调指导小组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工作协调指导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小组下设办公室，办公室设在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产服中心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，负责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指导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小组日常工作。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至少每半年专题研究化肥农药减量工作1次。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各村要</w:t>
      </w:r>
      <w:r>
        <w:rPr>
          <w:rFonts w:hint="eastAsia" w:ascii="方正仿宋_GBK" w:hAnsi="等线" w:eastAsia="方正仿宋_GBK" w:cs="等线"/>
          <w:color w:val="000000"/>
          <w:sz w:val="32"/>
          <w:szCs w:val="32"/>
        </w:rPr>
        <w:t>建立</w:t>
      </w:r>
      <w:r>
        <w:rPr>
          <w:rFonts w:hint="eastAsia" w:ascii="方正仿宋_GBK" w:hAnsi="等线" w:eastAsia="方正仿宋_GBK" w:cs="等线"/>
          <w:color w:val="000000"/>
          <w:sz w:val="32"/>
          <w:szCs w:val="32"/>
          <w:lang w:val="en-US" w:eastAsia="zh-CN"/>
        </w:rPr>
        <w:t>街镇</w:t>
      </w:r>
      <w:r>
        <w:rPr>
          <w:rFonts w:hint="eastAsia" w:ascii="方正仿宋_GBK" w:hAnsi="等线" w:eastAsia="方正仿宋_GBK" w:cs="等线"/>
          <w:color w:val="000000"/>
          <w:sz w:val="32"/>
          <w:szCs w:val="32"/>
        </w:rPr>
        <w:t>技术人员</w:t>
      </w:r>
      <w:r>
        <w:rPr>
          <w:rFonts w:hint="eastAsia" w:ascii="方正仿宋_GBK" w:hAnsi="等线" w:eastAsia="方正仿宋_GBK" w:cs="等线"/>
          <w:color w:val="000000"/>
          <w:sz w:val="32"/>
          <w:szCs w:val="32"/>
          <w:lang w:eastAsia="zh-CN"/>
        </w:rPr>
        <w:t>对</w:t>
      </w:r>
      <w:r>
        <w:rPr>
          <w:rFonts w:hint="eastAsia" w:ascii="方正仿宋_GBK" w:hAnsi="等线" w:eastAsia="方正仿宋_GBK" w:cs="等线"/>
          <w:color w:val="000000"/>
          <w:sz w:val="32"/>
          <w:szCs w:val="32"/>
        </w:rPr>
        <w:t>种植大户</w:t>
      </w:r>
      <w:r>
        <w:rPr>
          <w:rFonts w:hint="eastAsia" w:ascii="方正仿宋_GBK" w:hAnsi="等线" w:eastAsia="方正仿宋_GBK" w:cs="等线"/>
          <w:color w:val="000000"/>
          <w:sz w:val="32"/>
          <w:szCs w:val="32"/>
          <w:lang w:eastAsia="zh-CN"/>
        </w:rPr>
        <w:t>的</w:t>
      </w:r>
      <w:r>
        <w:rPr>
          <w:rFonts w:hint="eastAsia" w:ascii="方正仿宋_GBK" w:hAnsi="等线" w:eastAsia="方正仿宋_GBK" w:cs="等线"/>
          <w:color w:val="000000"/>
          <w:sz w:val="32"/>
          <w:szCs w:val="32"/>
        </w:rPr>
        <w:t>包户指导机制，并加强调度监督考核。</w:t>
      </w:r>
    </w:p>
    <w:p>
      <w:pPr>
        <w:widowControl w:val="0"/>
        <w:wordWrap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highlight w:val="red"/>
        </w:rPr>
      </w:pPr>
      <w:r>
        <w:rPr>
          <w:rFonts w:hint="default" w:ascii="Times New Roman" w:hAnsi="Times New Roman" w:eastAsia="方正楷体_GBK" w:cs="Times New Roman"/>
          <w:sz w:val="32"/>
        </w:rPr>
        <w:t>（二）强化检查调度</w:t>
      </w:r>
      <w:r>
        <w:rPr>
          <w:rFonts w:hint="default" w:ascii="Times New Roman" w:hAnsi="Times New Roman" w:eastAsia="方正仿宋_GBK" w:cs="Times New Roman"/>
          <w:sz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镇要围绕重点减量技术，及时收集汇总相关技术推广情况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。化肥、农药减量技术推广落地情况表电子件及纸质件（盖鲜章）于</w:t>
      </w:r>
      <w:r>
        <w:rPr>
          <w:rFonts w:hint="eastAsia" w:ascii="Times New Roman" w:hAnsi="Times New Roman" w:eastAsia="方正仿宋_GBK" w:cs="Times New Roman"/>
          <w:color w:val="000000"/>
          <w:sz w:val="32"/>
          <w:lang w:val="en-US" w:eastAsia="zh-CN"/>
        </w:rPr>
        <w:t>11月20日前分别交至区农研中心科技站、植保植检站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强化农事记录与减量调查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要督促指导农产品生</w:t>
      </w:r>
      <w:r>
        <w:rPr>
          <w:rFonts w:hint="default" w:ascii="Times New Roman" w:hAnsi="Times New Roman" w:eastAsia="方正仿宋_GBK" w:cs="Times New Roman"/>
          <w:sz w:val="32"/>
        </w:rPr>
        <w:t>产企业、农民专业合作等经济组织依法建立健全生产记录，如实记载使用化肥、农药的名称、来源、用法、用量和使用、停用的日期。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各村</w:t>
      </w:r>
      <w:r>
        <w:rPr>
          <w:rFonts w:hint="default" w:ascii="Times New Roman" w:hAnsi="Times New Roman" w:eastAsia="方正仿宋_GBK" w:cs="Times New Roman"/>
          <w:sz w:val="32"/>
        </w:rPr>
        <w:t>应科学合理确定规模种植户的生产规模标准，并建立规模种植户（示范户）清单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。</w:t>
      </w:r>
      <w:r>
        <w:rPr>
          <w:rFonts w:hint="default" w:ascii="Times New Roman" w:hAnsi="Times New Roman" w:eastAsia="方正仿宋_GBK" w:cs="Times New Roman"/>
          <w:sz w:val="32"/>
        </w:rPr>
        <w:t>12月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10日</w:t>
      </w:r>
      <w:r>
        <w:rPr>
          <w:rFonts w:hint="default" w:ascii="Times New Roman" w:hAnsi="Times New Roman" w:eastAsia="方正仿宋_GBK" w:cs="Times New Roman"/>
          <w:sz w:val="32"/>
        </w:rPr>
        <w:t>前，结合农事记录，完成调查规模种植户（示范户）化肥农药使用情况，找准用量高的业主，重点开展培训指导，形成减量效果汇总表。</w:t>
      </w:r>
    </w:p>
    <w:p>
      <w:pPr>
        <w:widowControl w:val="0"/>
        <w:wordWrap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</w:rPr>
        <w:t>（三）强化执法检查。</w:t>
      </w:r>
      <w:r>
        <w:rPr>
          <w:rFonts w:hint="default" w:ascii="Times New Roman" w:hAnsi="Times New Roman" w:eastAsia="方正仿宋_GBK" w:cs="Times New Roman"/>
          <w:sz w:val="32"/>
        </w:rPr>
        <w:t>区、镇两级农业执法队伍根据《中华人民共和国农产品质量安全法》相关要求，加强农产品生产企业、农民专业合作社、农业社会化服务组织农事记录的执法检查，发现问题及时督促整改，符合立案的依法查处。要加强肥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料和农药市场监督管理，以法严打生产销售假劣肥料、农药的违法行为，确保农户用上放心肥、放心药。</w:t>
      </w:r>
    </w:p>
    <w:p>
      <w:pPr>
        <w:widowControl w:val="0"/>
        <w:wordWrap/>
        <w:spacing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</w:rPr>
        <w:t>）加强绩效评估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</w:rPr>
        <w:t>于202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eastAsia" w:eastAsia="方正仿宋_GBK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eastAsia" w:eastAsia="方正仿宋_GBK" w:cs="Times New Roman"/>
          <w:sz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</w:rPr>
        <w:t>日前提交年度工作方案，202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</w:rPr>
        <w:t>年12月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</w:rPr>
        <w:t>日前完成化肥农药减量工作总结、绩效评估形成工作报告，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并与</w:t>
      </w:r>
      <w:r>
        <w:rPr>
          <w:rFonts w:hint="default" w:ascii="Times New Roman" w:hAnsi="Times New Roman" w:eastAsia="方正仿宋_GBK" w:cs="Times New Roman"/>
          <w:sz w:val="32"/>
        </w:rPr>
        <w:t>相关工作佐证材料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的纸质件</w:t>
      </w:r>
      <w:r>
        <w:rPr>
          <w:rFonts w:hint="default" w:ascii="Times New Roman" w:hAnsi="Times New Roman" w:eastAsia="方正仿宋_GBK" w:cs="Times New Roman"/>
          <w:sz w:val="32"/>
        </w:rPr>
        <w:t>一并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交至区农研中心科技站、植保植检站，电子件</w:t>
      </w:r>
      <w:r>
        <w:rPr>
          <w:rFonts w:hint="default" w:ascii="Times New Roman" w:hAnsi="Times New Roman" w:eastAsia="方正仿宋_GBK" w:cs="Times New Roman"/>
          <w:sz w:val="32"/>
        </w:rPr>
        <w:t>发至指定邮箱，其中：化肥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相关资料</w:t>
      </w:r>
      <w:r>
        <w:rPr>
          <w:rFonts w:hint="default" w:ascii="Times New Roman" w:hAnsi="Times New Roman" w:eastAsia="方正仿宋_GBK" w:cs="Times New Roman"/>
          <w:sz w:val="32"/>
        </w:rPr>
        <w:t>发送至1007610021@qq.com；农药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相关资料</w:t>
      </w:r>
      <w:r>
        <w:rPr>
          <w:rFonts w:hint="default" w:ascii="Times New Roman" w:hAnsi="Times New Roman" w:eastAsia="方正仿宋_GBK" w:cs="Times New Roman"/>
          <w:sz w:val="32"/>
        </w:rPr>
        <w:t>发送至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1421945761</w:t>
      </w:r>
      <w:r>
        <w:rPr>
          <w:rFonts w:hint="default" w:ascii="Times New Roman" w:hAnsi="Times New Roman" w:eastAsia="方正仿宋_GBK" w:cs="Times New Roman"/>
          <w:sz w:val="32"/>
        </w:rPr>
        <w:t>@qq.co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m。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0BD1B93"/>
    <w:rsid w:val="00FF168C"/>
    <w:rsid w:val="10BD1B93"/>
    <w:rsid w:val="7D526B2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4"/>
    <w:basedOn w:val="3"/>
    <w:next w:val="1"/>
    <w:unhideWhenUsed/>
    <w:qFormat/>
    <w:uiPriority w:val="0"/>
    <w:pPr>
      <w:keepNext/>
      <w:keepLines/>
      <w:spacing w:before="280" w:after="290" w:line="374" w:lineRule="auto"/>
      <w:outlineLvl w:val="3"/>
    </w:pPr>
    <w:rPr>
      <w:rFonts w:ascii="等线 Light" w:hAnsi="等线 Light" w:eastAsia="等线 Light" w:cs="黑体"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eastAsia="仿宋_GB2312"/>
      <w:w w:val="80"/>
      <w:kern w:val="10"/>
      <w:sz w:val="30"/>
    </w:rPr>
  </w:style>
  <w:style w:type="paragraph" w:styleId="5">
    <w:name w:val="Title"/>
    <w:qFormat/>
    <w:uiPriority w:val="0"/>
    <w:pPr>
      <w:widowControl w:val="0"/>
      <w:spacing w:line="600" w:lineRule="exact"/>
      <w:ind w:firstLine="0" w:firstLineChars="0"/>
      <w:jc w:val="center"/>
      <w:outlineLvl w:val="0"/>
    </w:pPr>
    <w:rPr>
      <w:rFonts w:ascii="Times New Roman" w:hAnsi="Times New Roman" w:eastAsia="方正小标宋_GBK" w:cs="宋体"/>
      <w:kern w:val="0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2025-07-08T03:31:00Z</dcterms:created>
  <dc:creator>万顺镇收文员</dc:creator>
  <cp:lastModifiedBy>Administrator</cp:lastModifiedBy>
  <dcterms:modified xsi:type="dcterms:W3CDTF">2025-09-10T04:01:11Z</dcterms:modified>
  <dc:title>万顺府发〔2025〕23号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