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bookmarkStart w:id="0" w:name="OLE_LINK1"/>
      <w:bookmarkStart w:id="1" w:name="OLE_LINK2"/>
      <w:r>
        <w:rPr>
          <w:rFonts w:ascii="方正小标宋_GBK" w:hAnsi="方正小标宋_GBK" w:eastAsia="方正小标宋_GBK" w:cs="方正小标宋_GBK"/>
          <w:sz w:val="44"/>
          <w:szCs w:val="44"/>
        </w:rPr>
        <w:t>重庆市长寿区中医院</w:t>
      </w:r>
    </w:p>
    <w:p>
      <w:pPr>
        <w:pStyle w:val="7"/>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widowControl w:val="0"/>
        <w:spacing w:line="580" w:lineRule="exact"/>
        <w:ind w:firstLine="640" w:firstLineChars="200"/>
        <w:jc w:val="both"/>
        <w:rPr>
          <w:rFonts w:hint="default" w:ascii="Times New Roman" w:hAnsi="Times New Roman" w:eastAsia="方正黑体_GBK" w:cs="Times New Roman"/>
          <w:kern w:val="2"/>
          <w:sz w:val="32"/>
          <w:szCs w:val="22"/>
        </w:rPr>
      </w:pPr>
      <w:r>
        <w:rPr>
          <w:rFonts w:hint="eastAsia" w:ascii="Times New Roman" w:hAnsi="Times New Roman" w:eastAsia="方正黑体_GBK" w:cs="Times New Roman"/>
          <w:kern w:val="2"/>
          <w:sz w:val="32"/>
          <w:szCs w:val="22"/>
        </w:rPr>
        <w:t>一、</w:t>
      </w:r>
      <w:r>
        <w:rPr>
          <w:rFonts w:hint="eastAsia" w:ascii="Times New Roman" w:hAnsi="Times New Roman" w:eastAsia="方正黑体_GBK" w:cs="Times New Roman"/>
          <w:kern w:val="2"/>
          <w:sz w:val="32"/>
          <w:szCs w:val="22"/>
          <w:lang w:eastAsia="zh-CN"/>
        </w:rPr>
        <w:t>单位</w:t>
      </w:r>
      <w:r>
        <w:rPr>
          <w:rFonts w:hint="eastAsia" w:ascii="Times New Roman" w:hAnsi="Times New Roman" w:eastAsia="方正黑体_GBK" w:cs="Times New Roman"/>
          <w:kern w:val="2"/>
          <w:sz w:val="32"/>
          <w:szCs w:val="22"/>
        </w:rPr>
        <w:t>基本情况</w:t>
      </w:r>
    </w:p>
    <w:p>
      <w:pPr>
        <w:widowControl w:val="0"/>
        <w:spacing w:line="580" w:lineRule="exact"/>
        <w:ind w:firstLine="640" w:firstLineChars="200"/>
        <w:jc w:val="both"/>
        <w:rPr>
          <w:rFonts w:hint="default" w:ascii="Times New Roman" w:hAnsi="Times New Roman" w:eastAsia="方正楷体_GBK" w:cs="Times New Roman"/>
          <w:kern w:val="2"/>
          <w:sz w:val="32"/>
          <w:szCs w:val="22"/>
        </w:rPr>
      </w:pPr>
      <w:r>
        <w:rPr>
          <w:rFonts w:hint="default" w:ascii="Times New Roman" w:hAnsi="Times New Roman" w:eastAsia="方正楷体_GBK" w:cs="Times New Roman"/>
          <w:kern w:val="2"/>
          <w:sz w:val="32"/>
          <w:szCs w:val="22"/>
        </w:rPr>
        <w:t>（一）职能职责</w:t>
      </w:r>
    </w:p>
    <w:p>
      <w:pPr>
        <w:keepNext w:val="0"/>
        <w:keepLines w:val="0"/>
        <w:pageBreakBefore w:val="0"/>
        <w:widowControl w:val="0"/>
        <w:kinsoku/>
        <w:wordWrap/>
        <w:overflowPunct/>
        <w:topLinePunct w:val="0"/>
        <w:autoSpaceDE/>
        <w:autoSpaceDN/>
        <w:bidi w:val="0"/>
        <w:adjustRightInd/>
        <w:snapToGrid w:val="0"/>
        <w:spacing w:line="594" w:lineRule="exact"/>
        <w:ind w:firstLine="640" w:firstLineChars="200"/>
        <w:jc w:val="both"/>
        <w:textAlignment w:val="auto"/>
        <w:rPr>
          <w:rFonts w:hint="eastAsia" w:ascii="Times New Roman" w:hAnsi="Times New Roman" w:eastAsia="方正仿宋_GBK" w:cs="Times New Roman"/>
          <w:kern w:val="0"/>
          <w:sz w:val="32"/>
          <w:szCs w:val="32"/>
          <w:highlight w:val="none"/>
          <w:lang w:val="en-US" w:eastAsia="zh-CN"/>
        </w:rPr>
      </w:pPr>
      <w:r>
        <w:rPr>
          <w:rFonts w:hint="eastAsia" w:ascii="Times New Roman" w:hAnsi="Times New Roman" w:eastAsia="方正仿宋_GBK" w:cs="Times New Roman"/>
          <w:color w:val="auto"/>
          <w:sz w:val="32"/>
          <w:szCs w:val="32"/>
          <w:lang w:val="en-US" w:eastAsia="zh-CN"/>
        </w:rPr>
        <w:t>重庆市</w:t>
      </w:r>
      <w:r>
        <w:rPr>
          <w:rFonts w:hint="default" w:ascii="Times New Roman" w:hAnsi="Times New Roman" w:eastAsia="方正仿宋_GBK" w:cs="Times New Roman"/>
          <w:color w:val="auto"/>
          <w:sz w:val="32"/>
          <w:szCs w:val="32"/>
          <w:lang w:val="en-US" w:eastAsia="zh-CN"/>
        </w:rPr>
        <w:t>长寿区中医院</w:t>
      </w:r>
      <w:r>
        <w:rPr>
          <w:rFonts w:hint="default" w:ascii="Times New Roman" w:hAnsi="Times New Roman" w:eastAsia="方正仿宋_GBK" w:cs="Times New Roman"/>
          <w:color w:val="auto"/>
          <w:sz w:val="32"/>
          <w:szCs w:val="32"/>
          <w:highlight w:val="none"/>
          <w:lang w:val="en-US" w:eastAsia="zh-CN"/>
        </w:rPr>
        <w:t>始建于1973年7月，前身为长寿县中草药研究所，</w:t>
      </w:r>
      <w:r>
        <w:rPr>
          <w:rFonts w:hint="eastAsia" w:ascii="Times New Roman" w:hAnsi="Times New Roman" w:eastAsia="方正仿宋_GBK" w:cs="Times New Roman"/>
          <w:color w:val="auto"/>
          <w:sz w:val="32"/>
          <w:szCs w:val="32"/>
          <w:highlight w:val="none"/>
          <w:lang w:val="en-US" w:eastAsia="zh-CN"/>
        </w:rPr>
        <w:t>是</w:t>
      </w:r>
      <w:r>
        <w:rPr>
          <w:rFonts w:hint="default" w:ascii="Times New Roman" w:hAnsi="Times New Roman" w:eastAsia="方正仿宋_GBK" w:cs="Times New Roman"/>
          <w:kern w:val="0"/>
          <w:sz w:val="32"/>
          <w:szCs w:val="32"/>
          <w:highlight w:val="none"/>
        </w:rPr>
        <w:t>集急救、医疗、预防、保健、康复、医养、教学科研</w:t>
      </w:r>
      <w:r>
        <w:rPr>
          <w:rFonts w:hint="eastAsia" w:ascii="Times New Roman" w:hAnsi="Times New Roman" w:eastAsia="方正仿宋_GBK" w:cs="Times New Roman"/>
          <w:kern w:val="0"/>
          <w:sz w:val="32"/>
          <w:szCs w:val="32"/>
          <w:highlight w:val="none"/>
          <w:lang w:eastAsia="zh-CN"/>
        </w:rPr>
        <w:t>等</w:t>
      </w:r>
      <w:r>
        <w:rPr>
          <w:rFonts w:hint="default" w:ascii="Times New Roman" w:hAnsi="Times New Roman" w:eastAsia="方正仿宋_GBK" w:cs="Times New Roman"/>
          <w:kern w:val="0"/>
          <w:sz w:val="32"/>
          <w:szCs w:val="32"/>
          <w:highlight w:val="none"/>
        </w:rPr>
        <w:t>为一体的国家三级综合性中医医院。</w:t>
      </w:r>
    </w:p>
    <w:p>
      <w:pPr>
        <w:widowControl w:val="0"/>
        <w:numPr>
          <w:ilvl w:val="0"/>
          <w:numId w:val="1"/>
        </w:numPr>
        <w:spacing w:line="580" w:lineRule="exact"/>
        <w:ind w:firstLine="640" w:firstLineChars="200"/>
        <w:jc w:val="both"/>
        <w:rPr>
          <w:rFonts w:hint="default" w:ascii="Times New Roman" w:hAnsi="Times New Roman" w:eastAsia="方正楷体_GBK" w:cs="Times New Roman"/>
          <w:kern w:val="2"/>
          <w:sz w:val="32"/>
          <w:szCs w:val="22"/>
        </w:rPr>
      </w:pPr>
      <w:r>
        <w:rPr>
          <w:rFonts w:hint="default" w:ascii="Times New Roman" w:hAnsi="Times New Roman" w:eastAsia="方正楷体_GBK" w:cs="Times New Roman"/>
          <w:kern w:val="2"/>
          <w:sz w:val="32"/>
          <w:szCs w:val="22"/>
        </w:rPr>
        <w:t>机构设置</w:t>
      </w:r>
    </w:p>
    <w:p>
      <w:pPr>
        <w:spacing w:line="600" w:lineRule="exact"/>
        <w:ind w:firstLine="640" w:firstLineChars="200"/>
        <w:rPr>
          <w:rFonts w:hint="default" w:ascii="Times New Roman" w:hAnsi="Times New Roman" w:eastAsia="方正仿宋_GBK" w:cs="Times New Roman"/>
          <w:b w:val="0"/>
          <w:bCs w:val="0"/>
          <w:kern w:val="0"/>
          <w:sz w:val="32"/>
          <w:szCs w:val="32"/>
          <w:highlight w:val="none"/>
          <w:lang w:val="en-US" w:eastAsia="zh-CN" w:bidi="ar-SA"/>
        </w:rPr>
      </w:pPr>
      <w:r>
        <w:rPr>
          <w:rFonts w:hint="default" w:ascii="Times New Roman" w:hAnsi="Times New Roman" w:eastAsia="方正仿宋_GBK" w:cs="Times New Roman"/>
          <w:color w:val="auto"/>
          <w:sz w:val="32"/>
          <w:szCs w:val="32"/>
          <w:lang w:val="en-US" w:eastAsia="zh-CN"/>
        </w:rPr>
        <w:t>医院</w:t>
      </w:r>
      <w:r>
        <w:rPr>
          <w:rFonts w:hint="eastAsia" w:ascii="Times New Roman" w:hAnsi="Times New Roman" w:eastAsia="方正仿宋_GBK" w:cs="Times New Roman"/>
          <w:color w:val="auto"/>
          <w:sz w:val="32"/>
          <w:szCs w:val="32"/>
          <w:lang w:val="en-US" w:eastAsia="zh-CN"/>
        </w:rPr>
        <w:t>以院本部为核心，以西门分院、菩提分院为两大特色院区，形成了特色鲜明、功能互补的发展格局。医院</w:t>
      </w:r>
      <w:r>
        <w:rPr>
          <w:rFonts w:hint="default" w:ascii="Times New Roman" w:hAnsi="Times New Roman" w:eastAsia="方正仿宋_GBK" w:cs="Times New Roman"/>
          <w:color w:val="auto"/>
          <w:sz w:val="32"/>
          <w:szCs w:val="32"/>
          <w:lang w:val="en-US" w:eastAsia="zh-CN"/>
        </w:rPr>
        <w:t>占地面积共178.5亩，已投用建筑面积113506㎡，在建面积61480.5</w:t>
      </w:r>
      <w:r>
        <w:rPr>
          <w:rFonts w:hint="default" w:ascii="Times New Roman" w:hAnsi="Times New Roman" w:eastAsia="方正仿宋_GBK" w:cs="Times New Roman"/>
          <w:b w:val="0"/>
          <w:bCs w:val="0"/>
          <w:color w:val="auto"/>
          <w:sz w:val="32"/>
          <w:szCs w:val="32"/>
          <w:lang w:val="en-US" w:eastAsia="zh-CN"/>
        </w:rPr>
        <w:t>㎡。院本部</w:t>
      </w:r>
      <w:r>
        <w:rPr>
          <w:rFonts w:hint="default" w:ascii="Times New Roman" w:hAnsi="Times New Roman" w:eastAsia="方正仿宋_GBK" w:cs="Times New Roman"/>
          <w:color w:val="auto"/>
          <w:sz w:val="32"/>
          <w:szCs w:val="32"/>
          <w:lang w:val="en-US" w:eastAsia="zh-CN"/>
        </w:rPr>
        <w:t>位于风景秀丽的桃花溪畔</w:t>
      </w:r>
      <w:r>
        <w:rPr>
          <w:rFonts w:hint="eastAsia" w:ascii="Times New Roman" w:hAnsi="Times New Roman" w:eastAsia="方正仿宋_GBK" w:cs="Times New Roman"/>
          <w:color w:val="auto"/>
          <w:sz w:val="32"/>
          <w:szCs w:val="32"/>
          <w:lang w:val="en-US" w:eastAsia="zh-CN"/>
        </w:rPr>
        <w:t>，分四期建设。重庆名中医研究院选址院本部利生楼三楼，助推医院学科建设、人才培养等。成立以“医养结合”为主题的乐温医养中心，床位167张，2023年12月正式投用。与区开投集团合作建设医养中心，占地30亩，建筑面积4.5万</w:t>
      </w:r>
      <w:r>
        <w:rPr>
          <w:rFonts w:hint="default" w:ascii="Times New Roman" w:hAnsi="Times New Roman" w:eastAsia="方正仿宋_GBK" w:cs="Times New Roman"/>
          <w:color w:val="auto"/>
          <w:sz w:val="32"/>
          <w:szCs w:val="32"/>
        </w:rPr>
        <w:t>m²</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设置养老床位600张，成立重庆寿山寿水健康养老服务有限公司负责该项目的运营和管理，即将投入使用。</w:t>
      </w:r>
      <w:r>
        <w:rPr>
          <w:rFonts w:hint="default" w:ascii="Times New Roman" w:hAnsi="Times New Roman" w:eastAsia="方正仿宋_GBK" w:cs="Times New Roman"/>
          <w:b w:val="0"/>
          <w:bCs w:val="0"/>
          <w:color w:val="auto"/>
          <w:sz w:val="32"/>
          <w:szCs w:val="32"/>
        </w:rPr>
        <w:t>西门分院</w:t>
      </w:r>
      <w:r>
        <w:rPr>
          <w:rFonts w:hint="eastAsia" w:ascii="Times New Roman" w:hAnsi="Times New Roman" w:eastAsia="方正仿宋_GBK" w:cs="Times New Roman"/>
          <w:b w:val="0"/>
          <w:bCs w:val="0"/>
          <w:color w:val="auto"/>
          <w:sz w:val="32"/>
          <w:szCs w:val="32"/>
          <w:lang w:val="en-US" w:eastAsia="zh-CN"/>
        </w:rPr>
        <w:t>位于长寿路19号，</w:t>
      </w:r>
      <w:r>
        <w:rPr>
          <w:rFonts w:hint="default" w:ascii="Times New Roman" w:hAnsi="Times New Roman" w:eastAsia="方正仿宋_GBK" w:cs="Times New Roman"/>
          <w:b w:val="0"/>
          <w:bCs w:val="0"/>
          <w:color w:val="auto"/>
          <w:sz w:val="32"/>
          <w:szCs w:val="32"/>
        </w:rPr>
        <w:t>建筑面积6</w:t>
      </w:r>
      <w:r>
        <w:rPr>
          <w:rFonts w:hint="default" w:ascii="Times New Roman" w:hAnsi="Times New Roman" w:eastAsia="方正仿宋_GBK" w:cs="Times New Roman"/>
          <w:color w:val="auto"/>
          <w:sz w:val="32"/>
          <w:szCs w:val="32"/>
        </w:rPr>
        <w:t>672m²</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开放病床159张</w:t>
      </w:r>
      <w:r>
        <w:rPr>
          <w:rFonts w:hint="eastAsia"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b w:val="0"/>
          <w:bCs w:val="0"/>
          <w:color w:val="auto"/>
          <w:sz w:val="32"/>
          <w:szCs w:val="32"/>
        </w:rPr>
        <w:t>菩提</w:t>
      </w:r>
      <w:r>
        <w:rPr>
          <w:rFonts w:hint="default" w:ascii="Times New Roman" w:hAnsi="Times New Roman" w:eastAsia="方正仿宋_GBK" w:cs="Times New Roman"/>
          <w:b w:val="0"/>
          <w:bCs w:val="0"/>
          <w:color w:val="auto"/>
          <w:sz w:val="32"/>
          <w:szCs w:val="32"/>
          <w:lang w:val="en-US" w:eastAsia="zh-CN"/>
        </w:rPr>
        <w:t>分院</w:t>
      </w:r>
      <w:r>
        <w:rPr>
          <w:rFonts w:hint="eastAsia" w:ascii="Times New Roman" w:hAnsi="Times New Roman" w:eastAsia="方正仿宋_GBK" w:cs="Times New Roman"/>
          <w:b w:val="0"/>
          <w:bCs w:val="0"/>
          <w:color w:val="auto"/>
          <w:sz w:val="32"/>
          <w:szCs w:val="32"/>
          <w:lang w:val="en-US" w:eastAsia="zh-CN"/>
        </w:rPr>
        <w:t>（菩提社区卫生服务中心）</w:t>
      </w:r>
      <w:r>
        <w:rPr>
          <w:rFonts w:hint="default" w:ascii="Times New Roman" w:hAnsi="Times New Roman" w:eastAsia="方正仿宋_GBK" w:cs="Times New Roman"/>
          <w:b w:val="0"/>
          <w:bCs w:val="0"/>
          <w:color w:val="auto"/>
          <w:sz w:val="32"/>
          <w:szCs w:val="32"/>
        </w:rPr>
        <w:t>建筑面</w:t>
      </w:r>
      <w:r>
        <w:rPr>
          <w:rFonts w:hint="default" w:ascii="Times New Roman" w:hAnsi="Times New Roman" w:eastAsia="方正仿宋_GBK" w:cs="Times New Roman"/>
          <w:color w:val="auto"/>
          <w:sz w:val="32"/>
          <w:szCs w:val="32"/>
        </w:rPr>
        <w:t>积6800㎡，</w:t>
      </w:r>
      <w:r>
        <w:rPr>
          <w:rFonts w:hint="eastAsia" w:ascii="Times New Roman" w:hAnsi="Times New Roman" w:eastAsia="方正仿宋_GBK" w:cs="Times New Roman"/>
          <w:color w:val="auto"/>
          <w:sz w:val="32"/>
          <w:szCs w:val="32"/>
          <w:lang w:val="en-US" w:eastAsia="zh-CN"/>
        </w:rPr>
        <w:t>床位100张，</w:t>
      </w:r>
      <w:r>
        <w:rPr>
          <w:rFonts w:hint="default" w:ascii="Times New Roman" w:hAnsi="Times New Roman" w:eastAsia="方正仿宋_GBK" w:cs="Times New Roman"/>
          <w:color w:val="auto"/>
          <w:sz w:val="32"/>
          <w:szCs w:val="32"/>
        </w:rPr>
        <w:t>2023年12月</w:t>
      </w:r>
      <w:r>
        <w:rPr>
          <w:rFonts w:hint="eastAsia" w:ascii="Times New Roman" w:hAnsi="Times New Roman" w:eastAsia="方正仿宋_GBK" w:cs="Times New Roman"/>
          <w:color w:val="auto"/>
          <w:sz w:val="32"/>
          <w:szCs w:val="32"/>
          <w:lang w:val="en-US" w:eastAsia="zh-CN"/>
        </w:rPr>
        <w:t>正式</w:t>
      </w:r>
      <w:r>
        <w:rPr>
          <w:rFonts w:hint="default" w:ascii="Times New Roman" w:hAnsi="Times New Roman" w:eastAsia="方正仿宋_GBK" w:cs="Times New Roman"/>
          <w:color w:val="auto"/>
          <w:sz w:val="32"/>
          <w:szCs w:val="32"/>
        </w:rPr>
        <w:t>投用</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辐射桃花新城20余万群众基本医疗及基本公共卫生服务</w:t>
      </w:r>
      <w:r>
        <w:rPr>
          <w:rFonts w:hint="default"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拥有3.0T超导磁共振、320排螺旋CT、数字减影造影X射线机（DSA）等总值约2亿元的先进仪器设备。</w:t>
      </w:r>
    </w:p>
    <w:p>
      <w:pPr>
        <w:widowControl w:val="0"/>
        <w:spacing w:line="580" w:lineRule="exact"/>
        <w:ind w:firstLine="640" w:firstLineChars="200"/>
        <w:jc w:val="both"/>
        <w:rPr>
          <w:rFonts w:hint="default" w:ascii="Times New Roman" w:hAnsi="Times New Roman" w:eastAsia="方正黑体_GBK" w:cs="Times New Roman"/>
          <w:kern w:val="2"/>
          <w:sz w:val="32"/>
          <w:szCs w:val="22"/>
        </w:rPr>
      </w:pPr>
      <w:r>
        <w:rPr>
          <w:rFonts w:hint="eastAsia" w:ascii="Times New Roman" w:hAnsi="Times New Roman" w:eastAsia="方正黑体_GBK" w:cs="Times New Roman"/>
          <w:kern w:val="2"/>
          <w:sz w:val="32"/>
          <w:szCs w:val="22"/>
        </w:rPr>
        <w:t>二、</w:t>
      </w:r>
      <w:r>
        <w:rPr>
          <w:rFonts w:hint="eastAsia" w:ascii="Times New Roman" w:hAnsi="Times New Roman" w:eastAsia="方正黑体_GBK" w:cs="Times New Roman"/>
          <w:kern w:val="2"/>
          <w:sz w:val="32"/>
          <w:szCs w:val="22"/>
          <w:lang w:eastAsia="zh-CN"/>
        </w:rPr>
        <w:t>单位</w:t>
      </w:r>
      <w:r>
        <w:rPr>
          <w:rFonts w:hint="eastAsia" w:ascii="Times New Roman" w:hAnsi="Times New Roman" w:eastAsia="方正黑体_GBK" w:cs="Times New Roman"/>
          <w:kern w:val="2"/>
          <w:sz w:val="32"/>
          <w:szCs w:val="22"/>
        </w:rPr>
        <w:t>决算</w:t>
      </w:r>
      <w:r>
        <w:rPr>
          <w:rFonts w:hint="eastAsia" w:ascii="Times New Roman" w:hAnsi="Times New Roman" w:eastAsia="方正黑体_GBK" w:cs="Times New Roman"/>
          <w:kern w:val="2"/>
          <w:sz w:val="32"/>
          <w:szCs w:val="22"/>
          <w:lang w:eastAsia="zh-CN"/>
        </w:rPr>
        <w:t>收支</w:t>
      </w:r>
      <w:r>
        <w:rPr>
          <w:rFonts w:hint="eastAsia" w:ascii="Times New Roman" w:hAnsi="Times New Roman" w:eastAsia="方正黑体_GBK" w:cs="Times New Roman"/>
          <w:kern w:val="2"/>
          <w:sz w:val="32"/>
          <w:szCs w:val="22"/>
        </w:rPr>
        <w:t>情况说明</w:t>
      </w:r>
    </w:p>
    <w:p>
      <w:pPr>
        <w:widowControl w:val="0"/>
        <w:spacing w:line="580" w:lineRule="exact"/>
        <w:ind w:firstLine="640" w:firstLineChars="200"/>
        <w:jc w:val="both"/>
        <w:rPr>
          <w:rFonts w:hint="default" w:ascii="Times New Roman" w:hAnsi="Times New Roman" w:eastAsia="方正楷体_GBK" w:cs="Times New Roman"/>
          <w:kern w:val="2"/>
          <w:sz w:val="32"/>
          <w:szCs w:val="22"/>
        </w:rPr>
      </w:pPr>
      <w:r>
        <w:rPr>
          <w:rFonts w:hint="eastAsia" w:ascii="Times New Roman" w:hAnsi="Times New Roman" w:eastAsia="方正楷体_GBK" w:cs="Times New Roman"/>
          <w:kern w:val="2"/>
          <w:sz w:val="32"/>
          <w:szCs w:val="22"/>
        </w:rPr>
        <w:t>（一）收入支出决算总体情况说明</w:t>
      </w:r>
    </w:p>
    <w:p>
      <w:pPr>
        <w:spacing w:line="60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1.总体情况。</w:t>
      </w:r>
      <w:r>
        <w:rPr>
          <w:rFonts w:hint="eastAsia" w:ascii="Times New Roman" w:hAnsi="Times New Roman" w:eastAsia="方正仿宋_GBK" w:cs="Times New Roman"/>
          <w:color w:val="auto"/>
          <w:sz w:val="32"/>
          <w:szCs w:val="32"/>
          <w:lang w:val="en-US" w:eastAsia="zh-CN"/>
        </w:rPr>
        <w:t>2024年</w:t>
      </w:r>
      <w:r>
        <w:rPr>
          <w:rFonts w:hint="default" w:ascii="Times New Roman" w:hAnsi="Times New Roman" w:eastAsia="方正仿宋_GBK" w:cs="Times New Roman"/>
          <w:color w:val="auto"/>
          <w:sz w:val="32"/>
          <w:szCs w:val="32"/>
          <w:lang w:val="en-US" w:eastAsia="zh-CN"/>
        </w:rPr>
        <w:t>度收入总计41608.68万元，支出总计41608.68万元。收、支与2023年度相比，减少4849.63万元，下降10.4%，主要原因是收入合计39191.04万元，</w:t>
      </w:r>
      <w:r>
        <w:rPr>
          <w:rFonts w:hint="eastAsia" w:ascii="Times New Roman" w:hAnsi="Times New Roman" w:eastAsia="方正仿宋_GBK" w:cs="Times New Roman"/>
          <w:color w:val="auto"/>
          <w:sz w:val="32"/>
          <w:szCs w:val="32"/>
          <w:lang w:val="en-US" w:eastAsia="zh-CN"/>
        </w:rPr>
        <w:t>同比</w:t>
      </w:r>
      <w:r>
        <w:rPr>
          <w:rFonts w:hint="default" w:ascii="Times New Roman" w:hAnsi="Times New Roman" w:eastAsia="方正仿宋_GBK" w:cs="Times New Roman"/>
          <w:color w:val="auto"/>
          <w:sz w:val="32"/>
          <w:szCs w:val="32"/>
          <w:lang w:val="en-US" w:eastAsia="zh-CN"/>
        </w:rPr>
        <w:t>减少5678.69万元</w:t>
      </w:r>
      <w:r>
        <w:rPr>
          <w:rFonts w:hint="eastAsia" w:ascii="Times New Roman" w:hAnsi="Times New Roman" w:eastAsia="方正仿宋_GBK" w:cs="Times New Roman"/>
          <w:color w:val="auto"/>
          <w:sz w:val="32"/>
          <w:szCs w:val="32"/>
          <w:lang w:val="en-US" w:eastAsia="zh-CN"/>
        </w:rPr>
        <w:t>，使用非财政拨款结余（含专用结余）2375.5万元，同比增加2375.5万元，年初结转和结余42.14万元，同比减少1546.44万元。</w:t>
      </w:r>
    </w:p>
    <w:p>
      <w:pPr>
        <w:spacing w:line="60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2.收入情况。</w:t>
      </w:r>
      <w:r>
        <w:rPr>
          <w:rFonts w:hint="eastAsia" w:ascii="Times New Roman" w:hAnsi="Times New Roman" w:eastAsia="方正仿宋_GBK" w:cs="Times New Roman"/>
          <w:color w:val="auto"/>
          <w:sz w:val="32"/>
          <w:szCs w:val="32"/>
          <w:lang w:val="en-US" w:eastAsia="zh-CN"/>
        </w:rPr>
        <w:t>2024年</w:t>
      </w:r>
      <w:r>
        <w:rPr>
          <w:rFonts w:hint="default" w:ascii="Times New Roman" w:hAnsi="Times New Roman" w:eastAsia="方正仿宋_GBK" w:cs="Times New Roman"/>
          <w:color w:val="auto"/>
          <w:sz w:val="32"/>
          <w:szCs w:val="32"/>
          <w:lang w:val="en-US" w:eastAsia="zh-CN"/>
        </w:rPr>
        <w:t>度收入合计39191.04万元，与2023年度相比，减少5678.69万元，下降12.7%，主要原因是</w:t>
      </w:r>
      <w:r>
        <w:rPr>
          <w:rFonts w:hint="eastAsia" w:ascii="Times New Roman" w:hAnsi="Times New Roman" w:eastAsia="方正仿宋_GBK" w:cs="Times New Roman"/>
          <w:color w:val="auto"/>
          <w:sz w:val="32"/>
          <w:szCs w:val="32"/>
          <w:lang w:val="en-US" w:eastAsia="zh-CN"/>
        </w:rPr>
        <w:t>由于财政拨款收入减少1729.81万元（主要为疫情防控方面拨款减少1499.09万元），其他收入减少4075.11万元</w:t>
      </w:r>
      <w:r>
        <w:rPr>
          <w:rFonts w:hint="default" w:ascii="Times New Roman" w:hAnsi="Times New Roman" w:eastAsia="方正仿宋_GBK" w:cs="Times New Roman"/>
          <w:color w:val="auto"/>
          <w:sz w:val="32"/>
          <w:szCs w:val="32"/>
          <w:lang w:val="en-US" w:eastAsia="zh-CN"/>
        </w:rPr>
        <w:t>。其中：财政拨款收入1525.11万元，占3.</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val="en-US" w:eastAsia="zh-CN"/>
        </w:rPr>
        <w:t>%；事业收入36812.87万元，占93.9%；经营收入0万元，占0.0%；其他收入853.06万元，占2.</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%。此外，</w:t>
      </w:r>
      <w:r>
        <w:rPr>
          <w:rFonts w:hint="eastAsia" w:ascii="Times New Roman" w:hAnsi="Times New Roman" w:eastAsia="方正仿宋_GBK" w:cs="Times New Roman"/>
          <w:color w:val="auto"/>
          <w:sz w:val="32"/>
          <w:szCs w:val="32"/>
          <w:lang w:val="en-US" w:eastAsia="zh-CN"/>
        </w:rPr>
        <w:t>使用非财政拨款结余（含专用结余）</w:t>
      </w:r>
      <w:r>
        <w:rPr>
          <w:rFonts w:hint="default" w:ascii="Times New Roman" w:hAnsi="Times New Roman" w:eastAsia="方正仿宋_GBK" w:cs="Times New Roman"/>
          <w:color w:val="auto"/>
          <w:sz w:val="32"/>
          <w:szCs w:val="32"/>
          <w:lang w:val="en-US" w:eastAsia="zh-CN"/>
        </w:rPr>
        <w:t>2375.5万元，年初结转和结余42.14万元。</w:t>
      </w:r>
    </w:p>
    <w:p>
      <w:pPr>
        <w:spacing w:line="60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3.支出情况。</w:t>
      </w:r>
      <w:r>
        <w:rPr>
          <w:rFonts w:hint="eastAsia" w:ascii="Times New Roman" w:hAnsi="Times New Roman" w:eastAsia="方正仿宋_GBK" w:cs="Times New Roman"/>
          <w:color w:val="auto"/>
          <w:sz w:val="32"/>
          <w:szCs w:val="32"/>
          <w:lang w:val="en-US" w:eastAsia="zh-CN"/>
        </w:rPr>
        <w:t>2024年</w:t>
      </w:r>
      <w:r>
        <w:rPr>
          <w:rFonts w:hint="default" w:ascii="Times New Roman" w:hAnsi="Times New Roman" w:eastAsia="方正仿宋_GBK" w:cs="Times New Roman"/>
          <w:color w:val="auto"/>
          <w:sz w:val="32"/>
          <w:szCs w:val="32"/>
          <w:lang w:val="en-US" w:eastAsia="zh-CN"/>
        </w:rPr>
        <w:t>度支出合计41608.68万元，与2023年度相比，减少2319.68万元，下降5.3%，主要原因是</w:t>
      </w:r>
      <w:r>
        <w:rPr>
          <w:rFonts w:hint="eastAsia" w:ascii="Times New Roman" w:hAnsi="Times New Roman" w:eastAsia="方正仿宋_GBK" w:cs="Times New Roman"/>
          <w:color w:val="auto"/>
          <w:sz w:val="32"/>
          <w:szCs w:val="32"/>
          <w:lang w:val="en-US" w:eastAsia="zh-CN"/>
        </w:rPr>
        <w:t>卫生健康支出减少1694.72万元，其他支出减少637.17万元，社会保障支出增加12.83万元</w:t>
      </w:r>
      <w:r>
        <w:rPr>
          <w:rFonts w:hint="default" w:ascii="Times New Roman" w:hAnsi="Times New Roman" w:eastAsia="方正仿宋_GBK" w:cs="Times New Roman"/>
          <w:color w:val="auto"/>
          <w:sz w:val="32"/>
          <w:szCs w:val="32"/>
          <w:lang w:val="en-US" w:eastAsia="zh-CN"/>
        </w:rPr>
        <w:t>。其中：基本支出31991.37万元，占76.</w:t>
      </w:r>
      <w:r>
        <w:rPr>
          <w:rFonts w:hint="eastAsia"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val="en-US" w:eastAsia="zh-CN"/>
        </w:rPr>
        <w:t>%；项目支出9617.3万元，占23.1%；经营支出0万元，占0.0%。此外，结余分配0万元。</w:t>
      </w:r>
    </w:p>
    <w:p>
      <w:pPr>
        <w:spacing w:line="60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4.结转结余情况。</w:t>
      </w:r>
      <w:r>
        <w:rPr>
          <w:rFonts w:hint="eastAsia" w:ascii="Times New Roman" w:hAnsi="Times New Roman" w:eastAsia="方正仿宋_GBK" w:cs="Times New Roman"/>
          <w:color w:val="auto"/>
          <w:sz w:val="32"/>
          <w:szCs w:val="32"/>
          <w:lang w:val="en-US" w:eastAsia="zh-CN"/>
        </w:rPr>
        <w:t>2024年</w:t>
      </w:r>
      <w:r>
        <w:rPr>
          <w:rFonts w:hint="default" w:ascii="Times New Roman" w:hAnsi="Times New Roman" w:eastAsia="方正仿宋_GBK" w:cs="Times New Roman"/>
          <w:color w:val="auto"/>
          <w:sz w:val="32"/>
          <w:szCs w:val="32"/>
          <w:lang w:val="en-US" w:eastAsia="zh-CN"/>
        </w:rPr>
        <w:t>度年末结转和结余</w:t>
      </w:r>
      <w:r>
        <w:rPr>
          <w:rFonts w:hint="eastAsia" w:ascii="Times New Roman" w:hAnsi="Times New Roman" w:eastAsia="方正仿宋_GBK" w:cs="Times New Roman"/>
          <w:color w:val="auto"/>
          <w:sz w:val="32"/>
          <w:szCs w:val="32"/>
          <w:lang w:val="en-US" w:eastAsia="zh-CN"/>
        </w:rPr>
        <w:t>0万元</w:t>
      </w:r>
      <w:r>
        <w:rPr>
          <w:rFonts w:hint="default" w:ascii="Times New Roman" w:hAnsi="Times New Roman" w:eastAsia="方正仿宋_GBK" w:cs="Times New Roman"/>
          <w:color w:val="auto"/>
          <w:sz w:val="32"/>
          <w:szCs w:val="32"/>
          <w:lang w:val="en-US" w:eastAsia="zh-CN"/>
        </w:rPr>
        <w:t>，与2023年度相比，减少42.14万元，下降100.0%，主要原因是</w:t>
      </w:r>
      <w:r>
        <w:rPr>
          <w:rFonts w:hint="eastAsia" w:ascii="Times New Roman" w:hAnsi="Times New Roman" w:eastAsia="方正仿宋_GBK" w:cs="Times New Roman"/>
          <w:color w:val="auto"/>
          <w:sz w:val="32"/>
          <w:szCs w:val="32"/>
          <w:lang w:val="en-US" w:eastAsia="zh-CN"/>
        </w:rPr>
        <w:t>本年度已将2023年度结转结余使用完毕，今年暂无结转结余发生</w:t>
      </w:r>
      <w:r>
        <w:rPr>
          <w:rFonts w:hint="default" w:ascii="Times New Roman" w:hAnsi="Times New Roman" w:eastAsia="方正仿宋_GBK" w:cs="Times New Roman"/>
          <w:color w:val="auto"/>
          <w:sz w:val="32"/>
          <w:szCs w:val="32"/>
          <w:lang w:val="en-US" w:eastAsia="zh-CN"/>
        </w:rPr>
        <w:t>。</w:t>
      </w:r>
    </w:p>
    <w:p>
      <w:pPr>
        <w:widowControl w:val="0"/>
        <w:spacing w:line="580" w:lineRule="exact"/>
        <w:ind w:firstLine="640" w:firstLineChars="200"/>
        <w:jc w:val="both"/>
        <w:rPr>
          <w:rFonts w:hint="default" w:ascii="Times New Roman" w:hAnsi="Times New Roman" w:eastAsia="方正楷体_GBK" w:cs="Times New Roman"/>
          <w:kern w:val="2"/>
          <w:sz w:val="32"/>
          <w:szCs w:val="22"/>
        </w:rPr>
      </w:pPr>
      <w:r>
        <w:rPr>
          <w:rFonts w:hint="eastAsia" w:ascii="Times New Roman" w:hAnsi="Times New Roman" w:eastAsia="方正楷体_GBK" w:cs="Times New Roman"/>
          <w:kern w:val="2"/>
          <w:sz w:val="32"/>
          <w:szCs w:val="22"/>
        </w:rPr>
        <w:t>（二）财政拨款收入支出决算总体情况说明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度财政拨款收、支总计1567.25万元。与202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年相比，财政拨款收、支总计各减少2340.52万元，下降59.9%。主要原因是</w:t>
      </w:r>
      <w:r>
        <w:rPr>
          <w:rFonts w:hint="eastAsia" w:ascii="Times New Roman" w:hAnsi="Times New Roman" w:eastAsia="方正仿宋_GBK" w:cs="Times New Roman"/>
          <w:color w:val="auto"/>
          <w:sz w:val="32"/>
          <w:szCs w:val="32"/>
          <w:lang w:val="en-US" w:eastAsia="zh-CN"/>
        </w:rPr>
        <w:t>疫情防控方面拨款减少1499.09万元，年初结转和结余减少610.71万元。</w:t>
      </w:r>
    </w:p>
    <w:p>
      <w:pPr>
        <w:widowControl w:val="0"/>
        <w:spacing w:line="580" w:lineRule="exact"/>
        <w:ind w:firstLine="640" w:firstLineChars="200"/>
        <w:jc w:val="both"/>
        <w:rPr>
          <w:rFonts w:hint="default" w:ascii="Times New Roman" w:hAnsi="Times New Roman" w:eastAsia="方正楷体_GBK" w:cs="Times New Roman"/>
          <w:kern w:val="2"/>
          <w:sz w:val="32"/>
          <w:szCs w:val="22"/>
        </w:rPr>
      </w:pPr>
      <w:r>
        <w:rPr>
          <w:rFonts w:hint="eastAsia" w:ascii="Times New Roman" w:hAnsi="Times New Roman" w:eastAsia="方正楷体_GBK" w:cs="Times New Roman"/>
          <w:kern w:val="2"/>
          <w:sz w:val="32"/>
          <w:szCs w:val="22"/>
        </w:rPr>
        <w:t>（三）一般公共预算财政拨款收入支出决算情况说明</w:t>
      </w:r>
    </w:p>
    <w:p>
      <w:pPr>
        <w:spacing w:line="60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1.收入情况。</w:t>
      </w:r>
      <w:r>
        <w:rPr>
          <w:rFonts w:hint="eastAsia" w:ascii="Times New Roman" w:hAnsi="Times New Roman" w:eastAsia="方正仿宋_GBK" w:cs="Times New Roman"/>
          <w:color w:val="auto"/>
          <w:sz w:val="32"/>
          <w:szCs w:val="32"/>
          <w:lang w:val="en-US" w:eastAsia="zh-CN"/>
        </w:rPr>
        <w:t>2024年</w:t>
      </w:r>
      <w:r>
        <w:rPr>
          <w:rFonts w:hint="default" w:ascii="Times New Roman" w:hAnsi="Times New Roman" w:eastAsia="方正仿宋_GBK" w:cs="Times New Roman"/>
          <w:color w:val="auto"/>
          <w:sz w:val="32"/>
          <w:szCs w:val="32"/>
          <w:lang w:val="en-US" w:eastAsia="zh-CN"/>
        </w:rPr>
        <w:t>度一般公共预算财政拨款收入1525.11万元，与2023年度相比，减少1729.81万元，下降53.1%。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sz w:val="32"/>
          <w:szCs w:val="32"/>
          <w:lang w:val="en-US" w:eastAsia="zh-CN"/>
        </w:rPr>
        <w:t>疫情防控方面拨款减少1499.09万元</w:t>
      </w:r>
      <w:r>
        <w:rPr>
          <w:rFonts w:hint="default" w:ascii="Times New Roman" w:hAnsi="Times New Roman" w:eastAsia="方正仿宋_GBK" w:cs="Times New Roman"/>
          <w:color w:val="auto"/>
          <w:sz w:val="32"/>
          <w:szCs w:val="32"/>
          <w:lang w:val="en-US" w:eastAsia="zh-CN"/>
        </w:rPr>
        <w:t>。较年初预算数增加147.05万元，增长10.7%。主要原因是</w:t>
      </w:r>
      <w:r>
        <w:rPr>
          <w:rFonts w:hint="eastAsia" w:ascii="Times New Roman" w:hAnsi="Times New Roman" w:eastAsia="方正仿宋_GBK" w:cs="Times New Roman"/>
          <w:color w:val="auto"/>
          <w:sz w:val="32"/>
          <w:szCs w:val="32"/>
          <w:lang w:val="en-US" w:eastAsia="zh-CN"/>
        </w:rPr>
        <w:t>2024年因人员情况变化，而进行增资调资合计101.13万元</w:t>
      </w:r>
      <w:r>
        <w:rPr>
          <w:rFonts w:hint="default" w:ascii="Times New Roman" w:hAnsi="Times New Roman" w:eastAsia="方正仿宋_GBK" w:cs="Times New Roman"/>
          <w:color w:val="auto"/>
          <w:sz w:val="32"/>
          <w:szCs w:val="32"/>
          <w:lang w:val="en-US" w:eastAsia="zh-CN"/>
        </w:rPr>
        <w:t>。此外，年初财政拨款结转和结余42.14万元。</w:t>
      </w:r>
    </w:p>
    <w:p>
      <w:pPr>
        <w:spacing w:line="60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2.支出情况。</w:t>
      </w:r>
      <w:r>
        <w:rPr>
          <w:rFonts w:hint="eastAsia" w:ascii="Times New Roman" w:hAnsi="Times New Roman" w:eastAsia="方正仿宋_GBK" w:cs="Times New Roman"/>
          <w:color w:val="auto"/>
          <w:sz w:val="32"/>
          <w:szCs w:val="32"/>
          <w:lang w:val="en-US" w:eastAsia="zh-CN"/>
        </w:rPr>
        <w:t>2024年</w:t>
      </w:r>
      <w:r>
        <w:rPr>
          <w:rFonts w:hint="default" w:ascii="Times New Roman" w:hAnsi="Times New Roman" w:eastAsia="方正仿宋_GBK" w:cs="Times New Roman"/>
          <w:color w:val="auto"/>
          <w:sz w:val="32"/>
          <w:szCs w:val="32"/>
          <w:lang w:val="en-US" w:eastAsia="zh-CN"/>
        </w:rPr>
        <w:t>度一般公共预算财政拨款支出1567.25万元，与2023年度相比，减少1661.20万元，下降51.5%。主要原因是</w:t>
      </w:r>
      <w:r>
        <w:rPr>
          <w:rFonts w:hint="eastAsia" w:ascii="Times New Roman" w:hAnsi="Times New Roman" w:eastAsia="方正仿宋_GBK" w:cs="Times New Roman"/>
          <w:color w:val="auto"/>
          <w:sz w:val="32"/>
          <w:szCs w:val="32"/>
          <w:lang w:val="en-US" w:eastAsia="zh-CN"/>
        </w:rPr>
        <w:t>人员经费等基本支出增加83.04万元，疫情防控、住院医师规范化培训等项目补助支出减少1744.25万元</w:t>
      </w:r>
      <w:r>
        <w:rPr>
          <w:rFonts w:hint="default" w:ascii="Times New Roman" w:hAnsi="Times New Roman" w:eastAsia="方正仿宋_GBK" w:cs="Times New Roman"/>
          <w:color w:val="auto"/>
          <w:sz w:val="32"/>
          <w:szCs w:val="32"/>
          <w:lang w:val="en-US" w:eastAsia="zh-CN"/>
        </w:rPr>
        <w:t>。较年初预算数增加189.19万元，增长13.7%。主要原因是</w:t>
      </w:r>
      <w:r>
        <w:rPr>
          <w:rFonts w:hint="eastAsia" w:ascii="Times New Roman" w:hAnsi="Times New Roman" w:eastAsia="方正仿宋_GBK" w:cs="Times New Roman"/>
          <w:color w:val="auto"/>
          <w:sz w:val="32"/>
          <w:szCs w:val="32"/>
          <w:lang w:val="en-US" w:eastAsia="zh-CN"/>
        </w:rPr>
        <w:t>2024年因人员情况变化，而进行增资调资合计101.13万元</w:t>
      </w:r>
      <w:r>
        <w:rPr>
          <w:rFonts w:hint="default" w:ascii="Times New Roman" w:hAnsi="Times New Roman" w:eastAsia="方正仿宋_GBK" w:cs="Times New Roman"/>
          <w:color w:val="auto"/>
          <w:sz w:val="32"/>
          <w:szCs w:val="32"/>
          <w:lang w:val="en-US" w:eastAsia="zh-CN"/>
        </w:rPr>
        <w:t>。</w:t>
      </w:r>
    </w:p>
    <w:p>
      <w:pPr>
        <w:spacing w:line="600"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3.结转结余情况。</w:t>
      </w:r>
      <w:r>
        <w:rPr>
          <w:rFonts w:hint="eastAsia" w:ascii="Times New Roman" w:hAnsi="Times New Roman" w:eastAsia="方正仿宋_GBK" w:cs="Times New Roman"/>
          <w:color w:val="auto"/>
          <w:sz w:val="32"/>
          <w:szCs w:val="32"/>
          <w:lang w:val="en-US" w:eastAsia="zh-CN"/>
        </w:rPr>
        <w:t>2024年</w:t>
      </w:r>
      <w:r>
        <w:rPr>
          <w:rFonts w:hint="default" w:ascii="Times New Roman" w:hAnsi="Times New Roman" w:eastAsia="方正仿宋_GBK" w:cs="Times New Roman"/>
          <w:color w:val="auto"/>
          <w:sz w:val="32"/>
          <w:szCs w:val="32"/>
          <w:lang w:val="en-US" w:eastAsia="zh-CN"/>
        </w:rPr>
        <w:t>度年末一般公共预算财政拨款结转和结余</w:t>
      </w:r>
      <w:r>
        <w:rPr>
          <w:rFonts w:hint="eastAsia" w:ascii="Times New Roman" w:hAnsi="Times New Roman" w:eastAsia="方正仿宋_GBK" w:cs="Times New Roman"/>
          <w:color w:val="auto"/>
          <w:sz w:val="32"/>
          <w:szCs w:val="32"/>
          <w:lang w:val="en-US" w:eastAsia="zh-CN"/>
        </w:rPr>
        <w:t>0万元</w:t>
      </w:r>
      <w:r>
        <w:rPr>
          <w:rFonts w:hint="default" w:ascii="Times New Roman" w:hAnsi="Times New Roman" w:eastAsia="方正仿宋_GBK" w:cs="Times New Roman"/>
          <w:color w:val="auto"/>
          <w:sz w:val="32"/>
          <w:szCs w:val="32"/>
          <w:lang w:val="en-US" w:eastAsia="zh-CN"/>
        </w:rPr>
        <w:t>，与2023年度相比，减少42.14万元，下降100.0%，主要原因是</w:t>
      </w:r>
      <w:r>
        <w:rPr>
          <w:rFonts w:hint="eastAsia" w:ascii="Times New Roman" w:hAnsi="Times New Roman" w:eastAsia="方正仿宋_GBK" w:cs="Times New Roman"/>
          <w:color w:val="auto"/>
          <w:sz w:val="32"/>
          <w:szCs w:val="32"/>
          <w:lang w:val="en-US" w:eastAsia="zh-CN"/>
        </w:rPr>
        <w:t>本年度已将2023年度结转结余使用完毕，今年暂无结转结余发生</w:t>
      </w:r>
      <w:r>
        <w:rPr>
          <w:rFonts w:hint="default" w:ascii="Times New Roman" w:hAnsi="Times New Roman" w:eastAsia="方正仿宋_GBK" w:cs="Times New Roman"/>
          <w:color w:val="auto"/>
          <w:sz w:val="32"/>
          <w:szCs w:val="32"/>
          <w:lang w:val="en-US" w:eastAsia="zh-CN"/>
        </w:rPr>
        <w:t>。</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highlight w:val="cyan"/>
          <w:shd w:val="clear" w:color="auto" w:fill="FFFFFF"/>
        </w:rPr>
      </w:pPr>
      <w:r>
        <w:rPr>
          <w:rFonts w:hint="default" w:ascii="Times New Roman" w:hAnsi="Times New Roman" w:eastAsia="方正仿宋_GBK" w:cs="Times New Roman"/>
          <w:color w:val="auto"/>
          <w:sz w:val="32"/>
          <w:szCs w:val="32"/>
          <w:lang w:val="en-US" w:eastAsia="zh-CN" w:bidi="ar-SA"/>
        </w:rPr>
        <w:t xml:space="preserve"> 4.比较情况。本单位</w:t>
      </w:r>
      <w:r>
        <w:rPr>
          <w:rFonts w:hint="eastAsia" w:ascii="Times New Roman" w:hAnsi="Times New Roman" w:eastAsia="方正仿宋_GBK" w:cs="Times New Roman"/>
          <w:color w:val="auto"/>
          <w:sz w:val="32"/>
          <w:szCs w:val="32"/>
          <w:lang w:val="en-US" w:eastAsia="zh-CN" w:bidi="ar-SA"/>
        </w:rPr>
        <w:t>2024年</w:t>
      </w:r>
      <w:r>
        <w:rPr>
          <w:rFonts w:hint="default" w:ascii="Times New Roman" w:hAnsi="Times New Roman" w:eastAsia="方正仿宋_GBK" w:cs="Times New Roman"/>
          <w:color w:val="auto"/>
          <w:sz w:val="32"/>
          <w:szCs w:val="32"/>
          <w:lang w:val="en-US" w:eastAsia="zh-CN" w:bidi="ar-SA"/>
        </w:rPr>
        <w:t>度一般公共预算财政拨款支出主要用于以下几个方面：</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w:t>
      </w:r>
      <w:r>
        <w:rPr>
          <w:rFonts w:hint="eastAsia" w:ascii="Times New Roman" w:hAnsi="Times New Roman" w:eastAsia="方正仿宋_GBK" w:cs="Times New Roman"/>
          <w:color w:val="auto"/>
          <w:sz w:val="32"/>
          <w:szCs w:val="32"/>
          <w:lang w:val="en-US" w:eastAsia="zh-CN" w:bidi="ar-SA"/>
        </w:rPr>
        <w:t>社会保障和就业支出</w:t>
      </w:r>
      <w:r>
        <w:rPr>
          <w:rFonts w:hint="default" w:ascii="Times New Roman" w:hAnsi="Times New Roman" w:eastAsia="方正仿宋_GBK" w:cs="Times New Roman"/>
          <w:color w:val="auto"/>
          <w:sz w:val="32"/>
          <w:szCs w:val="32"/>
          <w:lang w:val="en-US" w:eastAsia="zh-CN" w:bidi="ar-SA"/>
        </w:rPr>
        <w:t>873.01万元，占55.70%，较年初预算数增加60.34万元，增长7.4%，主要原因是</w:t>
      </w:r>
      <w:r>
        <w:rPr>
          <w:rFonts w:hint="eastAsia" w:ascii="Times New Roman" w:hAnsi="Times New Roman" w:eastAsia="方正仿宋_GBK" w:cs="Times New Roman"/>
          <w:color w:val="auto"/>
          <w:sz w:val="32"/>
          <w:szCs w:val="32"/>
          <w:lang w:val="en-US" w:eastAsia="zh-CN"/>
        </w:rPr>
        <w:t>2024年因人员情况变化，而进行增资调资。</w:t>
      </w:r>
    </w:p>
    <w:p>
      <w:pPr>
        <w:pStyle w:val="7"/>
        <w:snapToGrid w:val="0"/>
        <w:spacing w:before="0" w:beforeAutospacing="0" w:after="0" w:afterAutospacing="0" w:line="600"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color w:val="auto"/>
          <w:sz w:val="32"/>
          <w:szCs w:val="32"/>
          <w:lang w:val="en-US" w:eastAsia="zh-CN" w:bidi="ar-SA"/>
        </w:rPr>
        <w:t>卫生健康支出694.24万元，占44.3%，较年初预算数增加128.85万元，增长22.8%，主要原因是</w:t>
      </w:r>
      <w:r>
        <w:rPr>
          <w:rFonts w:hint="eastAsia" w:ascii="Times New Roman" w:hAnsi="Times New Roman" w:eastAsia="方正仿宋_GBK" w:cs="Times New Roman"/>
          <w:color w:val="auto"/>
          <w:sz w:val="32"/>
          <w:szCs w:val="32"/>
          <w:lang w:val="en-US" w:eastAsia="zh-CN"/>
        </w:rPr>
        <w:t>人员情况变化增加基本工资及基础绩效等拨款16.36万元，中医药事业传承与发展等特定目标类财政补助增加97.64万元。</w:t>
      </w:r>
    </w:p>
    <w:p>
      <w:pPr>
        <w:widowControl w:val="0"/>
        <w:spacing w:line="580" w:lineRule="exact"/>
        <w:ind w:firstLine="640" w:firstLineChars="200"/>
        <w:jc w:val="both"/>
        <w:rPr>
          <w:rFonts w:hint="default" w:ascii="Times New Roman" w:hAnsi="Times New Roman" w:eastAsia="方正楷体_GBK" w:cs="Times New Roman"/>
          <w:kern w:val="2"/>
          <w:sz w:val="32"/>
          <w:szCs w:val="22"/>
        </w:rPr>
      </w:pPr>
      <w:r>
        <w:rPr>
          <w:rFonts w:hint="eastAsia" w:ascii="Times New Roman" w:hAnsi="Times New Roman" w:eastAsia="方正楷体_GBK" w:cs="Times New Roman"/>
          <w:kern w:val="2"/>
          <w:sz w:val="32"/>
          <w:szCs w:val="22"/>
        </w:rPr>
        <w:t>（四）一般公共预算财政拨款基本支出决算情况说明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1458.46</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1452.96</w:t>
      </w:r>
      <w:r>
        <w:rPr>
          <w:rFonts w:ascii="方正仿宋_GBK" w:hAnsi="方正仿宋_GBK" w:eastAsia="方正仿宋_GBK" w:cs="方正仿宋_GBK"/>
          <w:sz w:val="32"/>
          <w:szCs w:val="32"/>
          <w:shd w:val="clear" w:color="auto" w:fill="FFFFFF"/>
        </w:rPr>
        <w:t>万元，与2023年度相比，增加77.54万元，增长5.6%，主要原因是</w:t>
      </w:r>
      <w:r>
        <w:rPr>
          <w:rFonts w:hint="eastAsia" w:ascii="方正仿宋_GBK" w:hAnsi="方正仿宋_GBK" w:eastAsia="方正仿宋_GBK" w:cs="方正仿宋_GBK"/>
          <w:sz w:val="32"/>
          <w:szCs w:val="32"/>
          <w:shd w:val="clear" w:color="auto" w:fill="FFFFFF"/>
          <w:lang w:val="en-US" w:eastAsia="zh-CN"/>
        </w:rPr>
        <w:t>工资福利支出增加64.72万元，对个人和家庭的补助增加12.82万元。</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val="en-US" w:eastAsia="zh-CN"/>
        </w:rPr>
        <w:t>基本工资、基础绩效、社会保障等费用缴纳。</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5.5</w:t>
      </w:r>
      <w:r>
        <w:rPr>
          <w:rFonts w:ascii="方正仿宋_GBK" w:hAnsi="方正仿宋_GBK" w:eastAsia="方正仿宋_GBK" w:cs="方正仿宋_GBK"/>
          <w:sz w:val="32"/>
          <w:szCs w:val="32"/>
          <w:shd w:val="clear" w:color="auto" w:fill="FFFFFF"/>
        </w:rPr>
        <w:t>万元，与2023年度相比，增加5.5万元，增长100.0%，主要原因是</w:t>
      </w:r>
      <w:r>
        <w:rPr>
          <w:rFonts w:hint="eastAsia" w:ascii="方正仿宋_GBK" w:hAnsi="方正仿宋_GBK" w:eastAsia="方正仿宋_GBK" w:cs="方正仿宋_GBK"/>
          <w:sz w:val="32"/>
          <w:szCs w:val="32"/>
          <w:shd w:val="clear" w:color="auto" w:fill="FFFFFF"/>
          <w:lang w:val="en-US" w:eastAsia="zh-CN"/>
        </w:rPr>
        <w:t>2024年离退休公用经费由财政项目拨款变化为财政基本拨款，</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val="en-US" w:eastAsia="zh-CN"/>
        </w:rPr>
        <w:t>离退休人员活动经费。</w:t>
      </w:r>
    </w:p>
    <w:p>
      <w:pPr>
        <w:widowControl w:val="0"/>
        <w:spacing w:line="580" w:lineRule="exact"/>
        <w:ind w:firstLine="640" w:firstLineChars="200"/>
        <w:jc w:val="both"/>
        <w:rPr>
          <w:rFonts w:hint="default" w:ascii="Times New Roman" w:hAnsi="Times New Roman" w:eastAsia="方正楷体_GBK" w:cs="Times New Roman"/>
          <w:kern w:val="2"/>
          <w:sz w:val="32"/>
          <w:szCs w:val="22"/>
        </w:rPr>
      </w:pPr>
      <w:r>
        <w:rPr>
          <w:rFonts w:hint="eastAsia" w:ascii="Times New Roman" w:hAnsi="Times New Roman" w:eastAsia="方正楷体_GBK" w:cs="Times New Roman"/>
          <w:kern w:val="2"/>
          <w:sz w:val="32"/>
          <w:szCs w:val="22"/>
        </w:rPr>
        <w:t>（五）政府性基金预算收支决算情况说明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度政府性基金预算财政拨款年初结转结余</w:t>
      </w:r>
      <w:r>
        <w:rPr>
          <w:rFonts w:hint="eastAsia" w:ascii="方正仿宋_GBK" w:hAnsi="方正仿宋_GBK" w:eastAsia="方正仿宋_GBK" w:cs="方正仿宋_GBK"/>
          <w:sz w:val="32"/>
          <w:szCs w:val="32"/>
          <w:lang w:eastAsia="zh-CN"/>
        </w:rPr>
        <w:t>0万元</w:t>
      </w:r>
      <w:r>
        <w:rPr>
          <w:rFonts w:ascii="方正仿宋_GBK" w:hAnsi="方正仿宋_GBK" w:eastAsia="方正仿宋_GBK" w:cs="方正仿宋_GBK"/>
          <w:sz w:val="32"/>
          <w:szCs w:val="32"/>
          <w:shd w:val="clear" w:color="auto" w:fill="FFFFFF"/>
        </w:rPr>
        <w:t>，年末结转结余</w:t>
      </w:r>
      <w:r>
        <w:rPr>
          <w:rFonts w:hint="eastAsia" w:ascii="方正仿宋_GBK" w:hAnsi="方正仿宋_GBK" w:eastAsia="方正仿宋_GBK" w:cs="方正仿宋_GBK"/>
          <w:sz w:val="32"/>
          <w:szCs w:val="32"/>
          <w:lang w:eastAsia="zh-CN"/>
        </w:rPr>
        <w:t>0万元</w:t>
      </w:r>
      <w:r>
        <w:rPr>
          <w:rFonts w:ascii="方正仿宋_GBK" w:hAnsi="方正仿宋_GBK" w:eastAsia="方正仿宋_GBK" w:cs="方正仿宋_GBK"/>
          <w:sz w:val="32"/>
          <w:szCs w:val="32"/>
          <w:shd w:val="clear" w:color="auto" w:fill="FFFFFF"/>
        </w:rPr>
        <w:t>。本年收入</w:t>
      </w:r>
      <w:r>
        <w:rPr>
          <w:rFonts w:hint="eastAsia" w:ascii="方正仿宋_GBK" w:hAnsi="方正仿宋_GBK" w:eastAsia="方正仿宋_GBK" w:cs="方正仿宋_GBK"/>
          <w:sz w:val="32"/>
          <w:szCs w:val="32"/>
          <w:lang w:eastAsia="zh-CN"/>
        </w:rPr>
        <w:t>0万元</w:t>
      </w:r>
      <w:r>
        <w:rPr>
          <w:rFonts w:ascii="方正仿宋_GBK" w:hAnsi="方正仿宋_GBK" w:eastAsia="方正仿宋_GBK" w:cs="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hint="eastAsia" w:ascii="方正仿宋_GBK" w:hAnsi="方正仿宋_GBK" w:eastAsia="方正仿宋_GBK" w:cs="方正仿宋_GBK"/>
          <w:sz w:val="32"/>
          <w:szCs w:val="32"/>
          <w:lang w:eastAsia="zh-CN"/>
        </w:rPr>
        <w:t>0万元</w:t>
      </w:r>
      <w:r>
        <w:rPr>
          <w:rFonts w:ascii="方正仿宋_GBK" w:hAnsi="方正仿宋_GBK" w:eastAsia="方正仿宋_GBK" w:cs="方正仿宋_GBK"/>
          <w:sz w:val="32"/>
          <w:szCs w:val="32"/>
          <w:shd w:val="clear" w:color="auto" w:fill="FFFFFF"/>
        </w:rPr>
        <w:t>，与2023年度相比，减少637.17万元，下降100.0%，主要原因是</w:t>
      </w:r>
      <w:r>
        <w:rPr>
          <w:rFonts w:hint="eastAsia" w:ascii="方正仿宋_GBK" w:hAnsi="方正仿宋_GBK" w:eastAsia="方正仿宋_GBK" w:cs="方正仿宋_GBK"/>
          <w:sz w:val="32"/>
          <w:szCs w:val="32"/>
          <w:shd w:val="clear" w:color="auto" w:fill="FFFFFF"/>
          <w:lang w:val="en-US" w:eastAsia="zh-CN"/>
        </w:rPr>
        <w:t>2023年使用剩余专项债券637.17万元，2024年无此支出发生。</w:t>
      </w:r>
    </w:p>
    <w:p>
      <w:pPr>
        <w:widowControl w:val="0"/>
        <w:spacing w:line="580" w:lineRule="exact"/>
        <w:ind w:firstLine="640" w:firstLineChars="200"/>
        <w:jc w:val="both"/>
        <w:rPr>
          <w:rFonts w:hint="default" w:ascii="Times New Roman" w:hAnsi="Times New Roman" w:eastAsia="方正楷体_GBK" w:cs="Times New Roman"/>
          <w:kern w:val="2"/>
          <w:sz w:val="32"/>
          <w:szCs w:val="22"/>
        </w:rPr>
      </w:pPr>
      <w:r>
        <w:rPr>
          <w:rFonts w:hint="eastAsia" w:ascii="Times New Roman" w:hAnsi="Times New Roman" w:eastAsia="方正楷体_GBK" w:cs="Times New Roman"/>
          <w:kern w:val="2"/>
          <w:sz w:val="32"/>
          <w:szCs w:val="22"/>
        </w:rPr>
        <w:t>（六）国有资本经营预算财政拨款支出决算情况说明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本单位</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度无国有资本经营预算财政拨款支出。</w:t>
      </w:r>
    </w:p>
    <w:p>
      <w:pPr>
        <w:widowControl w:val="0"/>
        <w:spacing w:line="580" w:lineRule="exact"/>
        <w:ind w:firstLine="640" w:firstLineChars="200"/>
        <w:jc w:val="both"/>
        <w:rPr>
          <w:rFonts w:hint="default" w:ascii="Times New Roman" w:hAnsi="Times New Roman" w:eastAsia="方正黑体_GBK" w:cs="Times New Roman"/>
          <w:kern w:val="2"/>
          <w:sz w:val="32"/>
          <w:szCs w:val="22"/>
        </w:rPr>
      </w:pPr>
      <w:r>
        <w:rPr>
          <w:rFonts w:hint="eastAsia" w:ascii="Times New Roman" w:hAnsi="Times New Roman" w:eastAsia="方正黑体_GBK" w:cs="Times New Roman"/>
          <w:kern w:val="2"/>
          <w:sz w:val="32"/>
          <w:szCs w:val="22"/>
        </w:rPr>
        <w:t>三、</w:t>
      </w:r>
      <w:r>
        <w:rPr>
          <w:rFonts w:hint="eastAsia" w:ascii="Times New Roman" w:hAnsi="Times New Roman" w:eastAsia="方正黑体_GBK" w:cs="Times New Roman"/>
          <w:kern w:val="2"/>
          <w:sz w:val="32"/>
          <w:szCs w:val="22"/>
          <w:lang w:eastAsia="zh-CN"/>
        </w:rPr>
        <w:t>财政拨款</w:t>
      </w:r>
      <w:r>
        <w:rPr>
          <w:rFonts w:hint="eastAsia" w:ascii="Times New Roman" w:hAnsi="Times New Roman" w:eastAsia="方正黑体_GBK" w:cs="Times New Roman"/>
          <w:kern w:val="2"/>
          <w:sz w:val="32"/>
          <w:szCs w:val="22"/>
        </w:rPr>
        <w:t>“三公”经费情况说明</w:t>
      </w:r>
    </w:p>
    <w:p>
      <w:pPr>
        <w:pStyle w:val="7"/>
        <w:snapToGrid w:val="0"/>
        <w:spacing w:before="0" w:beforeAutospacing="0" w:after="0" w:afterAutospacing="0" w:line="600" w:lineRule="exact"/>
        <w:ind w:firstLine="640" w:firstLineChars="200"/>
        <w:jc w:val="both"/>
        <w:rPr>
          <w:rFonts w:ascii="方正仿宋_GBK" w:hAnsi="方正仿宋_GBK" w:eastAsia="方正仿宋_GBK" w:cs="方正仿宋_GBK"/>
          <w:sz w:val="32"/>
          <w:szCs w:val="32"/>
          <w:shd w:val="clear" w:color="auto" w:fill="FFFF00"/>
        </w:rPr>
      </w:pPr>
      <w:r>
        <w:rPr>
          <w:rFonts w:hint="eastAsia" w:ascii="方正仿宋_GBK" w:hAnsi="方正仿宋_GBK" w:eastAsia="方正仿宋_GBK" w:cs="方正仿宋_GBK"/>
          <w:sz w:val="32"/>
          <w:szCs w:val="32"/>
          <w:shd w:val="clear" w:color="auto" w:fill="FFFFFF"/>
          <w:lang w:val="en-US" w:eastAsia="zh-CN"/>
        </w:rPr>
        <w:t>我</w:t>
      </w:r>
      <w:r>
        <w:rPr>
          <w:rFonts w:ascii="方正仿宋_GBK" w:hAnsi="方正仿宋_GBK" w:eastAsia="方正仿宋_GBK" w:cs="方正仿宋_GBK"/>
          <w:sz w:val="32"/>
          <w:szCs w:val="32"/>
          <w:shd w:val="clear" w:color="auto" w:fill="FFFFFF"/>
        </w:rPr>
        <w:t>单位</w:t>
      </w:r>
      <w:r>
        <w:rPr>
          <w:rFonts w:hint="eastAsia" w:ascii="方正仿宋_GBK" w:hAnsi="方正仿宋_GBK" w:eastAsia="方正仿宋_GBK" w:cs="方正仿宋_GBK"/>
          <w:sz w:val="32"/>
          <w:szCs w:val="32"/>
          <w:shd w:val="clear" w:color="auto" w:fill="FFFFFF"/>
          <w:lang w:val="en-US" w:eastAsia="zh-CN"/>
        </w:rPr>
        <w:t>属于差额拨款单位，财政未保障我单位“三公”经费</w:t>
      </w:r>
      <w:r>
        <w:rPr>
          <w:rFonts w:ascii="方正仿宋_GBK" w:hAnsi="方正仿宋_GBK" w:eastAsia="方正仿宋_GBK" w:cs="方正仿宋_GBK"/>
          <w:sz w:val="32"/>
          <w:szCs w:val="32"/>
          <w:shd w:val="clear" w:color="auto" w:fill="FFFFFF"/>
        </w:rPr>
        <w:t>。</w:t>
      </w:r>
    </w:p>
    <w:p>
      <w:pPr>
        <w:widowControl w:val="0"/>
        <w:spacing w:line="580" w:lineRule="exact"/>
        <w:ind w:firstLine="640" w:firstLineChars="200"/>
        <w:jc w:val="both"/>
        <w:rPr>
          <w:rFonts w:hint="default" w:ascii="Times New Roman" w:hAnsi="Times New Roman" w:eastAsia="方正黑体_GBK" w:cs="Times New Roman"/>
          <w:kern w:val="2"/>
          <w:sz w:val="32"/>
          <w:szCs w:val="22"/>
        </w:rPr>
      </w:pPr>
      <w:r>
        <w:rPr>
          <w:rFonts w:hint="eastAsia" w:ascii="Times New Roman" w:hAnsi="Times New Roman" w:eastAsia="方正黑体_GBK" w:cs="Times New Roman"/>
          <w:kern w:val="2"/>
          <w:sz w:val="32"/>
          <w:szCs w:val="22"/>
        </w:rPr>
        <w:t>四、其他需要说明的事项</w:t>
      </w:r>
    </w:p>
    <w:p>
      <w:pPr>
        <w:widowControl w:val="0"/>
        <w:spacing w:line="580" w:lineRule="exact"/>
        <w:ind w:firstLine="640" w:firstLineChars="200"/>
        <w:jc w:val="both"/>
        <w:rPr>
          <w:rFonts w:hint="default" w:ascii="Times New Roman" w:hAnsi="Times New Roman" w:eastAsia="方正楷体_GBK" w:cs="Times New Roman"/>
          <w:kern w:val="2"/>
          <w:sz w:val="32"/>
          <w:szCs w:val="22"/>
        </w:rPr>
      </w:pPr>
      <w:r>
        <w:rPr>
          <w:rFonts w:hint="eastAsia" w:ascii="Times New Roman" w:hAnsi="Times New Roman" w:eastAsia="方正楷体_GBK" w:cs="Times New Roman"/>
          <w:kern w:val="2"/>
          <w:sz w:val="32"/>
          <w:szCs w:val="22"/>
        </w:rPr>
        <w:t xml:space="preserve"> （一）财政拨款会议费和培训费情况说明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本年度会议费支出</w:t>
      </w:r>
      <w:r>
        <w:rPr>
          <w:rFonts w:hint="eastAsia" w:ascii="方正仿宋_GBK" w:hAnsi="方正仿宋_GBK" w:eastAsia="方正仿宋_GBK" w:cs="方正仿宋_GBK"/>
          <w:sz w:val="32"/>
          <w:szCs w:val="32"/>
          <w:lang w:eastAsia="zh-CN"/>
        </w:rPr>
        <w:t>0万元</w:t>
      </w:r>
      <w:r>
        <w:rPr>
          <w:rFonts w:ascii="方正仿宋_GBK" w:hAnsi="方正仿宋_GBK" w:eastAsia="方正仿宋_GBK" w:cs="方正仿宋_GBK"/>
          <w:sz w:val="32"/>
          <w:szCs w:val="32"/>
          <w:shd w:val="clear" w:color="auto" w:fill="FFFFFF"/>
        </w:rPr>
        <w:t>，与2023年度相比，无增减，主要原因是</w:t>
      </w:r>
      <w:r>
        <w:rPr>
          <w:rFonts w:hint="eastAsia" w:ascii="方正仿宋_GBK" w:hAnsi="方正仿宋_GBK" w:eastAsia="方正仿宋_GBK" w:cs="方正仿宋_GBK"/>
          <w:sz w:val="32"/>
          <w:szCs w:val="32"/>
          <w:shd w:val="clear" w:color="auto" w:fill="FFFFFF"/>
          <w:lang w:val="en-US" w:eastAsia="zh-CN"/>
        </w:rPr>
        <w:t>本单位无相关费用支出</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41.33</w:t>
      </w:r>
      <w:r>
        <w:rPr>
          <w:rFonts w:ascii="方正仿宋_GBK" w:hAnsi="方正仿宋_GBK" w:eastAsia="方正仿宋_GBK" w:cs="方正仿宋_GBK"/>
          <w:sz w:val="32"/>
          <w:szCs w:val="32"/>
          <w:shd w:val="clear" w:color="auto" w:fill="FFFFFF"/>
        </w:rPr>
        <w:t>万元，与2023年度相比，增加18.39万元，增长80.2%，主要原因是</w:t>
      </w:r>
      <w:r>
        <w:rPr>
          <w:rFonts w:hint="eastAsia" w:ascii="方正仿宋_GBK" w:hAnsi="方正仿宋_GBK" w:eastAsia="方正仿宋_GBK" w:cs="方正仿宋_GBK"/>
          <w:sz w:val="32"/>
          <w:szCs w:val="32"/>
          <w:shd w:val="clear" w:color="auto" w:fill="FFFFFF"/>
          <w:lang w:val="en-US" w:eastAsia="zh-CN"/>
        </w:rPr>
        <w:t>本年度外出进修医生护士人数增长，导致培训费支出增加</w:t>
      </w:r>
      <w:r>
        <w:rPr>
          <w:rFonts w:ascii="方正仿宋_GBK" w:hAnsi="方正仿宋_GBK" w:eastAsia="方正仿宋_GBK" w:cs="方正仿宋_GBK"/>
          <w:sz w:val="32"/>
          <w:szCs w:val="32"/>
          <w:shd w:val="clear" w:color="auto" w:fill="FFFFFF"/>
        </w:rPr>
        <w:t>。</w:t>
      </w:r>
    </w:p>
    <w:p>
      <w:pPr>
        <w:widowControl w:val="0"/>
        <w:spacing w:line="580" w:lineRule="exact"/>
        <w:ind w:firstLine="640" w:firstLineChars="200"/>
        <w:jc w:val="both"/>
        <w:rPr>
          <w:rFonts w:hint="default" w:ascii="Times New Roman" w:hAnsi="Times New Roman" w:eastAsia="方正楷体_GBK" w:cs="Times New Roman"/>
          <w:kern w:val="2"/>
          <w:sz w:val="32"/>
          <w:szCs w:val="22"/>
        </w:rPr>
      </w:pPr>
      <w:r>
        <w:rPr>
          <w:rFonts w:hint="eastAsia" w:ascii="Times New Roman" w:hAnsi="Times New Roman" w:eastAsia="方正楷体_GBK" w:cs="Times New Roman"/>
          <w:kern w:val="2"/>
          <w:sz w:val="32"/>
          <w:szCs w:val="22"/>
        </w:rPr>
        <w:t>（二）机关运行经费情况说明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rPr>
      </w:pPr>
      <w:r>
        <w:rPr>
          <w:rFonts w:hint="default" w:ascii="方正仿宋_GBK" w:hAnsi="方正仿宋_GBK" w:eastAsia="方正仿宋_GBK" w:cs="方正仿宋_GBK"/>
          <w:sz w:val="32"/>
          <w:szCs w:val="32"/>
          <w:shd w:val="clear" w:color="auto" w:fill="FFFFFF"/>
        </w:rPr>
        <w:t>按照部门决算列报口径，我单位不在机关运行经费统计范围之内</w:t>
      </w:r>
      <w:r>
        <w:rPr>
          <w:rFonts w:hint="eastAsia" w:ascii="方正仿宋_GBK" w:hAnsi="方正仿宋_GBK" w:eastAsia="方正仿宋_GBK" w:cs="方正仿宋_GBK"/>
          <w:sz w:val="32"/>
          <w:szCs w:val="32"/>
          <w:shd w:val="clear" w:color="auto" w:fill="FFFFFF"/>
          <w:lang w:eastAsia="zh-CN"/>
        </w:rPr>
        <w:t>。</w:t>
      </w:r>
    </w:p>
    <w:p>
      <w:pPr>
        <w:widowControl w:val="0"/>
        <w:spacing w:line="580" w:lineRule="exact"/>
        <w:ind w:firstLine="640" w:firstLineChars="200"/>
        <w:jc w:val="both"/>
        <w:rPr>
          <w:rFonts w:hint="default" w:ascii="Times New Roman" w:hAnsi="Times New Roman" w:eastAsia="方正楷体_GBK" w:cs="Times New Roman"/>
          <w:kern w:val="2"/>
          <w:sz w:val="32"/>
          <w:szCs w:val="22"/>
        </w:rPr>
      </w:pPr>
      <w:r>
        <w:rPr>
          <w:rFonts w:hint="eastAsia" w:ascii="Times New Roman" w:hAnsi="Times New Roman" w:eastAsia="方正楷体_GBK" w:cs="Times New Roman"/>
          <w:kern w:val="2"/>
          <w:sz w:val="32"/>
          <w:szCs w:val="22"/>
        </w:rPr>
        <w:t>（三）国有资产占用情况说明</w:t>
      </w:r>
    </w:p>
    <w:p>
      <w:pPr>
        <w:pStyle w:val="7"/>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12月31日，本单位共有车辆</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6</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30</w:t>
      </w:r>
      <w:r>
        <w:rPr>
          <w:rFonts w:ascii="方正仿宋_GBK" w:hAnsi="方正仿宋_GBK" w:eastAsia="方正仿宋_GBK" w:cs="方正仿宋_GBK"/>
          <w:sz w:val="32"/>
          <w:szCs w:val="32"/>
          <w:shd w:val="clear" w:color="auto" w:fill="FFFFFF"/>
        </w:rPr>
        <w:t>台（套）。</w:t>
      </w:r>
    </w:p>
    <w:p>
      <w:pPr>
        <w:widowControl w:val="0"/>
        <w:spacing w:line="580" w:lineRule="exact"/>
        <w:ind w:firstLine="640" w:firstLineChars="200"/>
        <w:jc w:val="both"/>
        <w:rPr>
          <w:rFonts w:hint="default" w:ascii="Times New Roman" w:hAnsi="Times New Roman" w:eastAsia="方正楷体_GBK" w:cs="Times New Roman"/>
          <w:kern w:val="2"/>
          <w:sz w:val="32"/>
          <w:szCs w:val="22"/>
        </w:rPr>
      </w:pPr>
      <w:r>
        <w:rPr>
          <w:rFonts w:hint="eastAsia" w:ascii="Times New Roman" w:hAnsi="Times New Roman" w:eastAsia="方正楷体_GBK" w:cs="Times New Roman"/>
          <w:kern w:val="2"/>
          <w:sz w:val="32"/>
          <w:szCs w:val="22"/>
        </w:rPr>
        <w:t>（四）政府采购支出情况说明</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度本单位政府采购支出总额</w:t>
      </w:r>
      <w:r>
        <w:rPr>
          <w:rFonts w:ascii="方正仿宋_GBK" w:hAnsi="方正仿宋_GBK" w:eastAsia="方正仿宋_GBK" w:cs="方正仿宋_GBK"/>
          <w:sz w:val="32"/>
          <w:szCs w:val="32"/>
        </w:rPr>
        <w:t>1523.86</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509.29</w:t>
      </w:r>
      <w:r>
        <w:rPr>
          <w:rFonts w:ascii="方正仿宋_GBK" w:hAnsi="方正仿宋_GBK" w:eastAsia="方正仿宋_GBK" w:cs="方正仿宋_GBK"/>
          <w:sz w:val="32"/>
          <w:szCs w:val="32"/>
          <w:shd w:val="clear" w:color="auto" w:fill="FFFFFF"/>
        </w:rPr>
        <w:t>万元、政府采购工程支出</w:t>
      </w:r>
      <w:r>
        <w:rPr>
          <w:rFonts w:hint="eastAsia" w:ascii="方正仿宋_GBK" w:hAnsi="方正仿宋_GBK" w:eastAsia="方正仿宋_GBK" w:cs="方正仿宋_GBK"/>
          <w:sz w:val="32"/>
          <w:szCs w:val="32"/>
          <w:lang w:eastAsia="zh-CN"/>
        </w:rPr>
        <w:t>0万元</w:t>
      </w:r>
      <w:r>
        <w:rPr>
          <w:rFonts w:ascii="方正仿宋_GBK" w:hAnsi="方正仿宋_GBK" w:eastAsia="方正仿宋_GBK" w:cs="方正仿宋_GBK"/>
          <w:sz w:val="32"/>
          <w:szCs w:val="32"/>
          <w:shd w:val="clear" w:color="auto" w:fill="FFFFFF"/>
        </w:rPr>
        <w:t>、政府采购服务支出</w:t>
      </w:r>
      <w:r>
        <w:rPr>
          <w:rFonts w:ascii="方正仿宋_GBK" w:hAnsi="方正仿宋_GBK" w:eastAsia="方正仿宋_GBK" w:cs="方正仿宋_GBK"/>
          <w:sz w:val="32"/>
          <w:szCs w:val="32"/>
        </w:rPr>
        <w:t>1014.57</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1523.86万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100.0%</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988</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64.8</w:t>
      </w:r>
      <w:r>
        <w:rPr>
          <w:rFonts w:ascii="方正仿宋_GBK" w:hAnsi="方正仿宋_GBK" w:eastAsia="方正仿宋_GBK" w:cs="方正仿宋_GBK"/>
          <w:sz w:val="32"/>
          <w:szCs w:val="32"/>
          <w:shd w:val="clear" w:color="auto" w:fill="FFFFFF"/>
        </w:rPr>
        <w:t xml:space="preserve"> %。主要用于采购</w:t>
      </w:r>
      <w:r>
        <w:rPr>
          <w:rFonts w:hint="eastAsia" w:ascii="方正仿宋_GBK" w:hAnsi="方正仿宋_GBK" w:eastAsia="方正仿宋_GBK" w:cs="方正仿宋_GBK"/>
          <w:sz w:val="32"/>
          <w:szCs w:val="32"/>
          <w:shd w:val="clear" w:color="auto" w:fill="FFFFFF"/>
          <w:lang w:val="en-US" w:eastAsia="zh-CN"/>
        </w:rPr>
        <w:t>医疗设备、信息化软件及物业管理等服务。</w:t>
      </w:r>
    </w:p>
    <w:p>
      <w:pPr>
        <w:widowControl w:val="0"/>
        <w:spacing w:line="580" w:lineRule="exact"/>
        <w:ind w:firstLine="640" w:firstLineChars="200"/>
        <w:jc w:val="both"/>
        <w:rPr>
          <w:rFonts w:hint="eastAsia" w:ascii="Times New Roman" w:hAnsi="Times New Roman" w:eastAsia="方正黑体_GBK" w:cs="Times New Roman"/>
          <w:kern w:val="2"/>
          <w:sz w:val="32"/>
          <w:szCs w:val="22"/>
        </w:rPr>
      </w:pPr>
      <w:r>
        <w:rPr>
          <w:rFonts w:hint="eastAsia" w:ascii="Times New Roman" w:hAnsi="Times New Roman" w:eastAsia="方正黑体_GBK" w:cs="Times New Roman"/>
          <w:kern w:val="2"/>
          <w:sz w:val="32"/>
          <w:szCs w:val="22"/>
        </w:rPr>
        <w:t>五、预算绩效管理情况说明</w:t>
      </w:r>
    </w:p>
    <w:p>
      <w:pPr>
        <w:widowControl w:val="0"/>
        <w:spacing w:line="580" w:lineRule="exact"/>
        <w:ind w:firstLine="640" w:firstLineChars="200"/>
        <w:jc w:val="both"/>
        <w:rPr>
          <w:rFonts w:hint="default" w:ascii="Times New Roman" w:hAnsi="Times New Roman" w:eastAsia="方正楷体_GBK" w:cs="Times New Roman"/>
          <w:kern w:val="2"/>
          <w:sz w:val="32"/>
          <w:szCs w:val="22"/>
        </w:rPr>
      </w:pPr>
      <w:r>
        <w:rPr>
          <w:rFonts w:hint="default" w:ascii="Times New Roman" w:hAnsi="Times New Roman" w:eastAsia="方正楷体_GBK" w:cs="Times New Roman"/>
          <w:kern w:val="2"/>
          <w:sz w:val="32"/>
          <w:szCs w:val="22"/>
          <w:lang w:val="en-US" w:eastAsia="zh-CN"/>
        </w:rPr>
        <w:t>（一）预算绩效管理工作开展情况</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lang w:eastAsia="zh-CN"/>
        </w:rPr>
      </w:pPr>
      <w:r>
        <w:rPr>
          <w:rFonts w:hint="default" w:ascii="方正仿宋_GBK" w:hAnsi="方正仿宋_GBK" w:eastAsia="方正仿宋_GBK" w:cs="方正仿宋_GBK"/>
          <w:sz w:val="32"/>
          <w:szCs w:val="32"/>
          <w:shd w:val="clear" w:color="auto" w:fill="FFFFFF"/>
          <w:lang w:val="en-US" w:eastAsia="zh-CN"/>
        </w:rPr>
        <w:t>根据预算绩效管理要求，我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对</w:t>
      </w:r>
      <w:r>
        <w:rPr>
          <w:rFonts w:hint="eastAsia" w:ascii="方正仿宋_GBK" w:hAnsi="方正仿宋_GBK" w:eastAsia="方正仿宋_GBK" w:cs="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lang w:val="en-US" w:eastAsia="zh-CN"/>
        </w:rPr>
        <w:t>个项目开展了绩效自评，涉及财政拨款项目支出资金</w:t>
      </w:r>
      <w:r>
        <w:rPr>
          <w:rFonts w:hint="eastAsia" w:ascii="方正仿宋_GBK" w:hAnsi="方正仿宋_GBK" w:eastAsia="方正仿宋_GBK" w:cs="方正仿宋_GBK"/>
          <w:sz w:val="32"/>
          <w:szCs w:val="32"/>
          <w:shd w:val="clear" w:color="auto" w:fill="FFFFFF"/>
          <w:lang w:val="en-US" w:eastAsia="zh-CN"/>
        </w:rPr>
        <w:t>108.79</w:t>
      </w:r>
      <w:r>
        <w:rPr>
          <w:rFonts w:hint="default" w:ascii="方正仿宋_GBK" w:hAnsi="方正仿宋_GBK" w:eastAsia="方正仿宋_GBK" w:cs="方正仿宋_GBK"/>
          <w:sz w:val="32"/>
          <w:szCs w:val="32"/>
          <w:shd w:val="clear" w:color="auto" w:fill="FFFFFF"/>
          <w:lang w:val="en-US" w:eastAsia="zh-CN"/>
        </w:rPr>
        <w:t>万元。</w:t>
      </w:r>
    </w:p>
    <w:p>
      <w:pPr>
        <w:widowControl w:val="0"/>
        <w:spacing w:line="580" w:lineRule="exact"/>
        <w:ind w:firstLine="640" w:firstLineChars="200"/>
        <w:jc w:val="both"/>
        <w:rPr>
          <w:rFonts w:hint="default" w:ascii="Times New Roman" w:hAnsi="Times New Roman" w:eastAsia="方正楷体_GBK" w:cs="Times New Roman"/>
          <w:kern w:val="2"/>
          <w:sz w:val="32"/>
          <w:szCs w:val="22"/>
        </w:rPr>
      </w:pPr>
      <w:r>
        <w:rPr>
          <w:rFonts w:hint="default" w:ascii="Times New Roman" w:hAnsi="Times New Roman" w:eastAsia="方正楷体_GBK" w:cs="Times New Roman"/>
          <w:kern w:val="2"/>
          <w:sz w:val="32"/>
          <w:szCs w:val="22"/>
          <w:lang w:val="en-US" w:eastAsia="zh-CN"/>
        </w:rPr>
        <w:t>（二）绩效自评结果</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lang w:val="en-US" w:eastAsia="zh-CN"/>
        </w:rPr>
        <w:t>绩效自评结果详见附件</w:t>
      </w:r>
      <w:r>
        <w:rPr>
          <w:rFonts w:hint="eastAsia" w:ascii="方正仿宋_GBK" w:hAnsi="方正仿宋_GBK" w:eastAsia="方正仿宋_GBK" w:cs="方正仿宋_GBK"/>
          <w:sz w:val="32"/>
          <w:szCs w:val="32"/>
          <w:shd w:val="clear" w:color="auto" w:fill="FFFFFF"/>
          <w:lang w:val="en-US" w:eastAsia="zh-CN"/>
        </w:rPr>
        <w:t>2024</w:t>
      </w:r>
      <w:r>
        <w:rPr>
          <w:rFonts w:hint="default" w:ascii="方正仿宋_GBK" w:hAnsi="方正仿宋_GBK" w:eastAsia="方正仿宋_GBK" w:cs="方正仿宋_GBK"/>
          <w:sz w:val="32"/>
          <w:szCs w:val="32"/>
          <w:shd w:val="clear" w:color="auto" w:fill="FFFFFF"/>
          <w:lang w:val="en-US" w:eastAsia="zh-CN"/>
        </w:rPr>
        <w:t>年度绩效自评公开表（《部门整体绩效自评表》、《项目绩效自评结果汇总表》、《项目支出绩效自评表》）。</w:t>
      </w:r>
      <w:bookmarkStart w:id="2" w:name="_GoBack"/>
      <w:bookmarkEnd w:id="2"/>
    </w:p>
    <w:p>
      <w:pPr>
        <w:widowControl w:val="0"/>
        <w:spacing w:line="580" w:lineRule="exact"/>
        <w:ind w:firstLine="640" w:firstLineChars="200"/>
        <w:jc w:val="both"/>
        <w:rPr>
          <w:rFonts w:hint="default" w:ascii="Times New Roman" w:hAnsi="Times New Roman" w:eastAsia="方正楷体_GBK" w:cs="Times New Roman"/>
          <w:kern w:val="2"/>
          <w:sz w:val="32"/>
          <w:szCs w:val="22"/>
        </w:rPr>
      </w:pPr>
      <w:r>
        <w:rPr>
          <w:rFonts w:hint="default" w:ascii="Times New Roman" w:hAnsi="Times New Roman" w:eastAsia="方正楷体_GBK" w:cs="Times New Roman"/>
          <w:kern w:val="2"/>
          <w:sz w:val="32"/>
          <w:szCs w:val="22"/>
          <w:lang w:val="en-US" w:eastAsia="zh-CN"/>
        </w:rPr>
        <w:t>（三）财政绩效评价情况（如有）</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highlight w:val="yellow"/>
          <w:shd w:val="clear" w:color="auto" w:fill="FFFFFF"/>
        </w:rPr>
      </w:pPr>
      <w:r>
        <w:rPr>
          <w:rFonts w:hint="default" w:ascii="方正仿宋_GBK" w:hAnsi="方正仿宋_GBK" w:eastAsia="方正仿宋_GBK" w:cs="方正仿宋_GBK"/>
          <w:sz w:val="32"/>
          <w:szCs w:val="32"/>
          <w:shd w:val="clear" w:color="auto" w:fill="FFFFFF"/>
          <w:lang w:val="en-US" w:eastAsia="zh-CN"/>
        </w:rPr>
        <w:t>区财政局未委托第三方对我单位开展绩效评价。</w:t>
      </w:r>
    </w:p>
    <w:p>
      <w:pPr>
        <w:widowControl w:val="0"/>
        <w:spacing w:line="580" w:lineRule="exact"/>
        <w:ind w:firstLine="960" w:firstLineChars="300"/>
        <w:jc w:val="both"/>
        <w:rPr>
          <w:rFonts w:hint="eastAsia" w:ascii="Times New Roman" w:hAnsi="Times New Roman" w:eastAsia="方正黑体_GBK" w:cs="Times New Roman"/>
          <w:kern w:val="2"/>
          <w:sz w:val="32"/>
          <w:szCs w:val="22"/>
        </w:rPr>
      </w:pPr>
      <w:r>
        <w:rPr>
          <w:rFonts w:hint="eastAsia" w:ascii="Times New Roman" w:hAnsi="Times New Roman" w:eastAsia="方正黑体_GBK" w:cs="Times New Roman"/>
          <w:kern w:val="2"/>
          <w:sz w:val="32"/>
          <w:szCs w:val="22"/>
          <w:lang w:val="en-US" w:eastAsia="zh-CN"/>
        </w:rPr>
        <w:t>六、专业名词解释</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kern w:val="2"/>
          <w:sz w:val="32"/>
          <w:szCs w:val="22"/>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kern w:val="2"/>
          <w:sz w:val="32"/>
          <w:szCs w:val="22"/>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kern w:val="2"/>
          <w:sz w:val="32"/>
          <w:szCs w:val="22"/>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kern w:val="2"/>
          <w:sz w:val="32"/>
          <w:szCs w:val="22"/>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kern w:val="2"/>
          <w:sz w:val="32"/>
          <w:szCs w:val="22"/>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kern w:val="2"/>
          <w:sz w:val="32"/>
          <w:szCs w:val="22"/>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kern w:val="2"/>
          <w:sz w:val="32"/>
          <w:szCs w:val="22"/>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kern w:val="2"/>
          <w:sz w:val="32"/>
          <w:szCs w:val="22"/>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kern w:val="2"/>
          <w:sz w:val="32"/>
          <w:szCs w:val="22"/>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kern w:val="2"/>
          <w:sz w:val="32"/>
          <w:szCs w:val="22"/>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kern w:val="2"/>
          <w:sz w:val="32"/>
          <w:szCs w:val="22"/>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kern w:val="2"/>
          <w:sz w:val="32"/>
          <w:szCs w:val="22"/>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kern w:val="2"/>
          <w:sz w:val="32"/>
          <w:szCs w:val="22"/>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kern w:val="2"/>
          <w:sz w:val="32"/>
          <w:szCs w:val="22"/>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kern w:val="2"/>
          <w:sz w:val="32"/>
          <w:szCs w:val="22"/>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kern w:val="2"/>
          <w:sz w:val="32"/>
          <w:szCs w:val="22"/>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Times New Roman" w:hAnsi="Times New Roman" w:eastAsia="方正楷体_GBK" w:cs="Times New Roman"/>
          <w:kern w:val="2"/>
          <w:sz w:val="32"/>
          <w:szCs w:val="22"/>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widowControl w:val="0"/>
        <w:spacing w:line="580" w:lineRule="exact"/>
        <w:ind w:firstLine="640" w:firstLineChars="200"/>
        <w:jc w:val="both"/>
        <w:rPr>
          <w:rFonts w:hint="eastAsia" w:ascii="Times New Roman" w:hAnsi="Times New Roman" w:eastAsia="方正黑体_GBK" w:cs="Times New Roman"/>
          <w:kern w:val="2"/>
          <w:sz w:val="32"/>
          <w:szCs w:val="22"/>
        </w:rPr>
      </w:pPr>
      <w:r>
        <w:rPr>
          <w:rFonts w:hint="eastAsia" w:ascii="Times New Roman" w:hAnsi="Times New Roman" w:eastAsia="方正黑体_GBK" w:cs="Times New Roman"/>
          <w:kern w:val="2"/>
          <w:sz w:val="32"/>
          <w:szCs w:val="22"/>
          <w:lang w:val="en-US" w:eastAsia="zh-CN"/>
        </w:rPr>
        <w:t>七、决算公开联系方式及信息反馈渠道</w:t>
      </w:r>
    </w:p>
    <w:p>
      <w:pPr>
        <w:pStyle w:val="13"/>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sz w:val="18"/>
          <w:szCs w:val="18"/>
        </w:rPr>
      </w:pPr>
      <w:r>
        <w:rPr>
          <w:rFonts w:hint="eastAsia" w:ascii="方正仿宋_GBK" w:hAnsi="方正仿宋_GBK" w:eastAsia="方正仿宋_GBK" w:cs="方正仿宋_GBK"/>
          <w:kern w:val="0"/>
          <w:sz w:val="32"/>
          <w:szCs w:val="32"/>
          <w:shd w:val="clear" w:fill="FFFFFF"/>
        </w:rPr>
        <w:t>本单位决算公开信息反馈和联系方式：</w:t>
      </w:r>
      <w:r>
        <w:rPr>
          <w:rFonts w:hint="eastAsia" w:ascii="方正仿宋_GBK" w:hAnsi="方正仿宋_GBK" w:eastAsia="方正仿宋_GBK" w:cs="方正仿宋_GBK"/>
          <w:kern w:val="0"/>
          <w:sz w:val="32"/>
          <w:szCs w:val="32"/>
          <w:shd w:val="clear" w:fill="FFFFFF"/>
          <w:lang w:val="en-US" w:eastAsia="zh-CN"/>
        </w:rPr>
        <w:t>邱鑫 40665527</w:t>
      </w:r>
      <w:r>
        <w:rPr>
          <w:rFonts w:cs="宋体"/>
          <w:sz w:val="18"/>
          <w:szCs w:val="18"/>
        </w:rPr>
        <w:br w:type="textWrapping"/>
      </w:r>
      <w:r>
        <w:rPr>
          <w:rFonts w:cs="宋体"/>
          <w:sz w:val="18"/>
          <w:szCs w:val="18"/>
        </w:rPr>
        <w:br w:type="textWrapping"/>
      </w:r>
      <w:bookmarkEnd w:id="0"/>
      <w:bookmarkEnd w:id="1"/>
    </w:p>
    <w:sectPr>
      <w:headerReference r:id="rId3" w:type="default"/>
      <w:footerReference r:id="rId4" w:type="default"/>
      <w:pgSz w:w="11850" w:h="16783"/>
      <w:pgMar w:top="1587" w:right="1474" w:bottom="1474" w:left="158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2089B6"/>
    <w:multiLevelType w:val="singleLevel"/>
    <w:tmpl w:val="772089B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0MmY4ZjI1OWIzYmEzMzg5MWE2ZDNiNmU3YWUzMWI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54309F"/>
    <w:rsid w:val="01F3521E"/>
    <w:rsid w:val="03B87EA0"/>
    <w:rsid w:val="03E3214F"/>
    <w:rsid w:val="044C50BA"/>
    <w:rsid w:val="04DA5B2F"/>
    <w:rsid w:val="05BC6D49"/>
    <w:rsid w:val="06194FF1"/>
    <w:rsid w:val="06A2550B"/>
    <w:rsid w:val="06F80EE2"/>
    <w:rsid w:val="07001CCA"/>
    <w:rsid w:val="075678DB"/>
    <w:rsid w:val="077B465F"/>
    <w:rsid w:val="079D7CC7"/>
    <w:rsid w:val="08051BCA"/>
    <w:rsid w:val="0847104E"/>
    <w:rsid w:val="086C12F4"/>
    <w:rsid w:val="08705944"/>
    <w:rsid w:val="08BA052C"/>
    <w:rsid w:val="08DB07BA"/>
    <w:rsid w:val="0969353F"/>
    <w:rsid w:val="098305D0"/>
    <w:rsid w:val="09B1218B"/>
    <w:rsid w:val="0A3317EA"/>
    <w:rsid w:val="0A5C4B69"/>
    <w:rsid w:val="0A86124A"/>
    <w:rsid w:val="0AB54CC0"/>
    <w:rsid w:val="0B9335CE"/>
    <w:rsid w:val="0BED281B"/>
    <w:rsid w:val="0BF2311A"/>
    <w:rsid w:val="0C5A32D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37361B"/>
    <w:rsid w:val="12C921C4"/>
    <w:rsid w:val="13871C70"/>
    <w:rsid w:val="13A71CB4"/>
    <w:rsid w:val="13AF1D43"/>
    <w:rsid w:val="13CE1647"/>
    <w:rsid w:val="13FD55AB"/>
    <w:rsid w:val="14200702"/>
    <w:rsid w:val="14370EA1"/>
    <w:rsid w:val="155032E5"/>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4E37FCC"/>
    <w:rsid w:val="252D4D73"/>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0BE67FD"/>
    <w:rsid w:val="315F0B22"/>
    <w:rsid w:val="31A15828"/>
    <w:rsid w:val="31D84415"/>
    <w:rsid w:val="32285F6F"/>
    <w:rsid w:val="32770556"/>
    <w:rsid w:val="329C0913"/>
    <w:rsid w:val="329D6AEB"/>
    <w:rsid w:val="32AA0460"/>
    <w:rsid w:val="3337290D"/>
    <w:rsid w:val="33E31118"/>
    <w:rsid w:val="33EF7674"/>
    <w:rsid w:val="342D7BC6"/>
    <w:rsid w:val="352930DB"/>
    <w:rsid w:val="35573069"/>
    <w:rsid w:val="355F6038"/>
    <w:rsid w:val="358C217E"/>
    <w:rsid w:val="35925E47"/>
    <w:rsid w:val="366843D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7E1294"/>
    <w:rsid w:val="3C566AD6"/>
    <w:rsid w:val="3C594871"/>
    <w:rsid w:val="3C6A5B02"/>
    <w:rsid w:val="3CA72811"/>
    <w:rsid w:val="3D083B3A"/>
    <w:rsid w:val="3D1440A1"/>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514313"/>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BD96B40"/>
    <w:rsid w:val="4D1F53CA"/>
    <w:rsid w:val="4DAC4ACA"/>
    <w:rsid w:val="4DBE01D2"/>
    <w:rsid w:val="4EFD467F"/>
    <w:rsid w:val="4F0C6BA3"/>
    <w:rsid w:val="4F186D58"/>
    <w:rsid w:val="504B6EAA"/>
    <w:rsid w:val="50F06B6E"/>
    <w:rsid w:val="51262E6A"/>
    <w:rsid w:val="51D21804"/>
    <w:rsid w:val="52234D33"/>
    <w:rsid w:val="522F6E0C"/>
    <w:rsid w:val="52463BA1"/>
    <w:rsid w:val="52B505E3"/>
    <w:rsid w:val="52F163D4"/>
    <w:rsid w:val="53021069"/>
    <w:rsid w:val="531A2DB4"/>
    <w:rsid w:val="53771F9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38316D"/>
    <w:rsid w:val="578867FC"/>
    <w:rsid w:val="582632A6"/>
    <w:rsid w:val="5842572D"/>
    <w:rsid w:val="58B73153"/>
    <w:rsid w:val="5A3B59D6"/>
    <w:rsid w:val="5AD134D8"/>
    <w:rsid w:val="5BF41F67"/>
    <w:rsid w:val="5C263CE4"/>
    <w:rsid w:val="5C525B41"/>
    <w:rsid w:val="5C5D2777"/>
    <w:rsid w:val="5CF66BF3"/>
    <w:rsid w:val="5D290C69"/>
    <w:rsid w:val="5DA80C2C"/>
    <w:rsid w:val="5E065530"/>
    <w:rsid w:val="5F2D4A41"/>
    <w:rsid w:val="5F78731D"/>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B71BF8"/>
    <w:rsid w:val="66EE5541"/>
    <w:rsid w:val="67924660"/>
    <w:rsid w:val="68407834"/>
    <w:rsid w:val="686126E6"/>
    <w:rsid w:val="6883293E"/>
    <w:rsid w:val="688412AD"/>
    <w:rsid w:val="68EB1B71"/>
    <w:rsid w:val="6969607E"/>
    <w:rsid w:val="696C0310"/>
    <w:rsid w:val="6A6C7940"/>
    <w:rsid w:val="6A9F1565"/>
    <w:rsid w:val="6AAD2300"/>
    <w:rsid w:val="6B474EF5"/>
    <w:rsid w:val="6BC938E5"/>
    <w:rsid w:val="6C0A5AC5"/>
    <w:rsid w:val="6C560CAE"/>
    <w:rsid w:val="6C576495"/>
    <w:rsid w:val="6D5B0465"/>
    <w:rsid w:val="6D903FF5"/>
    <w:rsid w:val="6DA955B8"/>
    <w:rsid w:val="6DE346AB"/>
    <w:rsid w:val="6DE5391A"/>
    <w:rsid w:val="6EFD1324"/>
    <w:rsid w:val="6F5A53AC"/>
    <w:rsid w:val="6FAC003D"/>
    <w:rsid w:val="6FD926BF"/>
    <w:rsid w:val="6FE55E12"/>
    <w:rsid w:val="6FE73160"/>
    <w:rsid w:val="6FFB2E76"/>
    <w:rsid w:val="708F6F7F"/>
    <w:rsid w:val="70D94BD3"/>
    <w:rsid w:val="71574775"/>
    <w:rsid w:val="71C34D91"/>
    <w:rsid w:val="72DB435C"/>
    <w:rsid w:val="72E2613A"/>
    <w:rsid w:val="72F771F4"/>
    <w:rsid w:val="73934AD2"/>
    <w:rsid w:val="74C06071"/>
    <w:rsid w:val="750837F0"/>
    <w:rsid w:val="754758CF"/>
    <w:rsid w:val="75595ECD"/>
    <w:rsid w:val="764F62AB"/>
    <w:rsid w:val="765C45EC"/>
    <w:rsid w:val="768A7619"/>
    <w:rsid w:val="76BD23AB"/>
    <w:rsid w:val="772E1EBA"/>
    <w:rsid w:val="781926BC"/>
    <w:rsid w:val="794B523B"/>
    <w:rsid w:val="796D60A4"/>
    <w:rsid w:val="79A031D5"/>
    <w:rsid w:val="79B47FDF"/>
    <w:rsid w:val="79E569A9"/>
    <w:rsid w:val="79F661D7"/>
    <w:rsid w:val="7A1525F7"/>
    <w:rsid w:val="7AA345CB"/>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40" w:after="60"/>
      <w:outlineLvl w:val="0"/>
    </w:pPr>
    <w:rPr>
      <w:rFonts w:ascii="Arial" w:hAnsi="Arial" w:cs="Arial"/>
      <w:b/>
      <w:bCs/>
      <w:szCs w:val="32"/>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basedOn w:val="10"/>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18">
    <w:name w:val="font51"/>
    <w:basedOn w:val="10"/>
    <w:qFormat/>
    <w:uiPriority w:val="0"/>
    <w:rPr>
      <w:rFonts w:hint="eastAsia" w:ascii="方正仿宋_GBK" w:hAnsi="方正仿宋_GBK" w:eastAsia="方正仿宋_GBK" w:cs="方正仿宋_GBK"/>
      <w:color w:val="000000"/>
      <w:sz w:val="20"/>
      <w:szCs w:val="20"/>
      <w:u w:val="none"/>
    </w:rPr>
  </w:style>
  <w:style w:type="character" w:customStyle="1" w:styleId="19">
    <w:name w:val="font121"/>
    <w:basedOn w:val="10"/>
    <w:qFormat/>
    <w:uiPriority w:val="0"/>
    <w:rPr>
      <w:rFonts w:hint="eastAsia" w:ascii="方正仿宋_GBK" w:hAnsi="方正仿宋_GBK" w:eastAsia="方正仿宋_GBK" w:cs="方正仿宋_GBK"/>
      <w:color w:val="000000"/>
      <w:sz w:val="20"/>
      <w:szCs w:val="20"/>
      <w:u w:val="none"/>
    </w:rPr>
  </w:style>
  <w:style w:type="character" w:customStyle="1" w:styleId="20">
    <w:name w:val="font122"/>
    <w:basedOn w:val="10"/>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10462</Words>
  <Characters>24701</Characters>
  <Lines>186</Lines>
  <Paragraphs>52</Paragraphs>
  <TotalTime>8</TotalTime>
  <ScaleCrop>false</ScaleCrop>
  <LinksUpToDate>false</LinksUpToDate>
  <CharactersWithSpaces>25599</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钟鑫</cp:lastModifiedBy>
  <cp:lastPrinted>2025-10-11T02:58:00Z</cp:lastPrinted>
  <dcterms:modified xsi:type="dcterms:W3CDTF">2025-10-13T08:22:24Z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BB46EABDBB2749749395447164B066B3_12</vt:lpwstr>
  </property>
  <property fmtid="{D5CDD505-2E9C-101B-9397-08002B2CF9AE}" pid="4" name="KSOTemplateDocerSaveRecord">
    <vt:lpwstr>eyJoZGlkIjoiMDUwMjYyMTAwZTM5NTcxOGVhNzI3YWZjMDRhMjZkZDEifQ==</vt:lpwstr>
  </property>
</Properties>
</file>