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重庆市长寿区万顺镇卫生院</w:t>
      </w:r>
    </w:p>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ascii="黑体" w:hAnsi="黑体" w:eastAsia="黑体" w:cs="黑体"/>
          <w:sz w:val="32"/>
          <w:szCs w:val="32"/>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textAlignment w:val="auto"/>
        <w:rPr>
          <w:rStyle w:val="5"/>
          <w:rFonts w:hint="default" w:ascii="黑体" w:hAnsi="黑体" w:eastAsia="黑体" w:cs="黑体"/>
          <w:sz w:val="32"/>
          <w:szCs w:val="32"/>
          <w:shd w:val="clear" w:color="auto" w:fill="FFFFFF"/>
        </w:rPr>
      </w:pPr>
      <w:r>
        <w:rPr>
          <w:rStyle w:val="5"/>
          <w:rFonts w:ascii="黑体" w:hAnsi="黑体" w:eastAsia="黑体" w:cs="黑体"/>
          <w:sz w:val="32"/>
          <w:szCs w:val="32"/>
          <w:shd w:val="clear" w:color="auto" w:fill="FFFFFF"/>
        </w:rPr>
        <w:t>一、</w:t>
      </w:r>
      <w:r>
        <w:rPr>
          <w:rStyle w:val="5"/>
          <w:rFonts w:hint="eastAsia" w:ascii="黑体" w:hAnsi="黑体" w:eastAsia="黑体" w:cs="黑体"/>
          <w:sz w:val="32"/>
          <w:szCs w:val="32"/>
          <w:shd w:val="clear" w:color="auto" w:fill="FFFFFF"/>
          <w:lang w:eastAsia="zh-CN"/>
        </w:rPr>
        <w:t>单位</w:t>
      </w:r>
      <w:r>
        <w:rPr>
          <w:rStyle w:val="5"/>
          <w:rFonts w:ascii="黑体" w:hAnsi="黑体" w:eastAsia="黑体" w:cs="黑体"/>
          <w:sz w:val="32"/>
          <w:szCs w:val="32"/>
          <w:shd w:val="clear" w:color="auto" w:fill="FFFFFF"/>
        </w:rPr>
        <w:t>基本情况</w:t>
      </w:r>
    </w:p>
    <w:p>
      <w:pPr>
        <w:pStyle w:val="2"/>
        <w:keepNext w:val="0"/>
        <w:keepLines w:val="0"/>
        <w:pageBreakBefore w:val="0"/>
        <w:shd w:val="clear" w:color="auto" w:fill="FFFFFF"/>
        <w:kinsoku/>
        <w:wordWrap/>
        <w:overflowPunct/>
        <w:topLinePunct w:val="0"/>
        <w:autoSpaceDN/>
        <w:bidi w:val="0"/>
        <w:adjustRightInd/>
        <w:spacing w:beforeAutospacing="0" w:afterAutospacing="0" w:line="520" w:lineRule="exact"/>
        <w:ind w:firstLine="420"/>
        <w:textAlignment w:val="auto"/>
        <w:rPr>
          <w:rStyle w:val="5"/>
          <w:rFonts w:ascii="楷体" w:hAnsi="楷体" w:eastAsia="楷体" w:cs="楷体"/>
          <w:sz w:val="32"/>
          <w:szCs w:val="32"/>
          <w:shd w:val="clear" w:color="auto" w:fill="FFFFFF"/>
        </w:rPr>
      </w:pPr>
      <w:r>
        <w:rPr>
          <w:rStyle w:val="5"/>
          <w:rFonts w:ascii="楷体" w:hAnsi="楷体" w:eastAsia="楷体" w:cs="楷体"/>
          <w:sz w:val="32"/>
          <w:szCs w:val="32"/>
          <w:shd w:val="clear" w:color="auto" w:fill="FFFFFF"/>
        </w:rPr>
        <w:t>（一）职能职责</w:t>
      </w:r>
    </w:p>
    <w:p>
      <w:pPr>
        <w:bidi w:val="0"/>
        <w:rPr>
          <w:rStyle w:val="5"/>
          <w:rFonts w:hint="eastAsia"/>
        </w:rPr>
      </w:pPr>
      <w:r>
        <w:rPr>
          <w:rFonts w:ascii="Times New Roman" w:hAnsi="Times New Roman" w:eastAsia="仿宋_GB2312" w:cs="Times New Roman"/>
          <w:sz w:val="32"/>
        </w:rPr>
        <w:t>本单位是</w:t>
      </w:r>
      <w:r>
        <w:rPr>
          <w:rFonts w:hint="eastAsia" w:ascii="Times New Roman" w:hAnsi="Times New Roman" w:eastAsia="仿宋_GB2312" w:cs="Times New Roman"/>
          <w:sz w:val="32"/>
          <w:lang w:eastAsia="zh-CN"/>
        </w:rPr>
        <w:t>基层卫生</w:t>
      </w:r>
      <w:r>
        <w:rPr>
          <w:rFonts w:ascii="Times New Roman" w:hAnsi="Times New Roman" w:eastAsia="仿宋_GB2312" w:cs="Times New Roman"/>
          <w:sz w:val="32"/>
        </w:rPr>
        <w:t>院，属</w:t>
      </w:r>
      <w:r>
        <w:rPr>
          <w:rFonts w:hint="eastAsia" w:ascii="Times New Roman" w:hAnsi="Times New Roman" w:eastAsia="仿宋_GB2312" w:cs="Times New Roman"/>
          <w:sz w:val="32"/>
        </w:rPr>
        <w:t>于</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正科级公益一类差额拨款事业单位</w:t>
      </w:r>
      <w:r>
        <w:rPr>
          <w:rFonts w:hint="eastAsia" w:ascii="Times New Roman" w:hAnsi="Times New Roman" w:eastAsia="仿宋_GB2312" w:cs="Times New Roman"/>
          <w:sz w:val="32"/>
        </w:rPr>
        <w:t>，</w:t>
      </w:r>
      <w:r>
        <w:rPr>
          <w:rFonts w:ascii="Times New Roman" w:hAnsi="Times New Roman" w:eastAsia="仿宋_GB2312" w:cs="Times New Roman"/>
          <w:sz w:val="32"/>
        </w:rPr>
        <w:t>承担基层基本医疗服务和公共卫生服务职能。是部门预算的独立核算单位，财政预算代码</w:t>
      </w:r>
      <w:r>
        <w:rPr>
          <w:rFonts w:hint="eastAsia" w:ascii="Times New Roman" w:hAnsi="Times New Roman" w:eastAsia="仿宋_GB2312" w:cs="Times New Roman"/>
          <w:sz w:val="32"/>
          <w:lang w:val="en-US" w:eastAsia="zh-CN"/>
        </w:rPr>
        <w:t>301014</w:t>
      </w:r>
      <w:r>
        <w:rPr>
          <w:rFonts w:ascii="Times New Roman" w:hAnsi="Times New Roman" w:eastAsia="仿宋_GB2312" w:cs="Times New Roman"/>
          <w:sz w:val="32"/>
        </w:rPr>
        <w:t>，执行基层医疗机构会计制度。现有在编职工</w:t>
      </w:r>
      <w:r>
        <w:rPr>
          <w:rFonts w:hint="eastAsia" w:ascii="Times New Roman" w:hAnsi="Times New Roman" w:eastAsia="仿宋_GB2312" w:cs="Times New Roman"/>
          <w:sz w:val="32"/>
          <w:lang w:val="en-US" w:eastAsia="zh-CN"/>
        </w:rPr>
        <w:t>32</w:t>
      </w:r>
      <w:r>
        <w:rPr>
          <w:rFonts w:ascii="Times New Roman" w:hAnsi="Times New Roman" w:eastAsia="仿宋_GB2312" w:cs="Times New Roman"/>
          <w:sz w:val="32"/>
        </w:rPr>
        <w:t>人，</w:t>
      </w:r>
      <w:r>
        <w:rPr>
          <w:rFonts w:hint="eastAsia" w:ascii="Times New Roman" w:hAnsi="Times New Roman" w:eastAsia="仿宋_GB2312" w:cs="Times New Roman"/>
          <w:sz w:val="32"/>
          <w:lang w:eastAsia="zh-CN"/>
        </w:rPr>
        <w:t>其中副高职称</w:t>
      </w:r>
      <w:r>
        <w:rPr>
          <w:rFonts w:hint="eastAsia" w:ascii="Times New Roman" w:hAnsi="Times New Roman" w:eastAsia="仿宋_GB2312" w:cs="Times New Roman"/>
          <w:sz w:val="32"/>
          <w:lang w:val="en-US" w:eastAsia="zh-CN"/>
        </w:rPr>
        <w:t>3人，中级职称9人；</w:t>
      </w:r>
      <w:r>
        <w:rPr>
          <w:rFonts w:ascii="Times New Roman" w:hAnsi="Times New Roman" w:eastAsia="仿宋_GB2312" w:cs="Times New Roman"/>
          <w:sz w:val="32"/>
        </w:rPr>
        <w:t>退休职工</w:t>
      </w:r>
      <w:r>
        <w:rPr>
          <w:rFonts w:hint="eastAsia" w:ascii="Times New Roman" w:hAnsi="Times New Roman" w:eastAsia="仿宋_GB2312" w:cs="Times New Roman"/>
          <w:sz w:val="32"/>
          <w:lang w:val="en-US" w:eastAsia="zh-CN"/>
        </w:rPr>
        <w:t>9</w:t>
      </w:r>
      <w:r>
        <w:rPr>
          <w:rFonts w:ascii="Times New Roman" w:hAnsi="Times New Roman" w:eastAsia="仿宋_GB2312" w:cs="Times New Roman"/>
          <w:sz w:val="32"/>
        </w:rPr>
        <w:t>人</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临聘人员</w:t>
      </w:r>
      <w:r>
        <w:rPr>
          <w:rFonts w:hint="eastAsia" w:ascii="Times New Roman" w:hAnsi="Times New Roman" w:eastAsia="仿宋_GB2312" w:cs="Times New Roman"/>
          <w:sz w:val="32"/>
          <w:lang w:val="en-US" w:eastAsia="zh-CN"/>
        </w:rPr>
        <w:t>12</w:t>
      </w:r>
      <w:r>
        <w:rPr>
          <w:rFonts w:ascii="Times New Roman" w:hAnsi="Times New Roman" w:eastAsia="仿宋_GB2312" w:cs="Times New Roman"/>
          <w:sz w:val="32"/>
        </w:rPr>
        <w:t>人</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配备</w:t>
      </w:r>
      <w:r>
        <w:rPr>
          <w:rFonts w:ascii="Times New Roman" w:hAnsi="Times New Roman" w:eastAsia="仿宋_GB2312" w:cs="Times New Roman"/>
          <w:sz w:val="32"/>
        </w:rPr>
        <w:t>救护车1辆</w:t>
      </w:r>
      <w:r>
        <w:rPr>
          <w:rFonts w:hint="eastAsia" w:ascii="Times New Roman" w:hAnsi="Times New Roman" w:eastAsia="仿宋_GB2312" w:cs="Times New Roman"/>
          <w:sz w:val="32"/>
          <w:lang w:eastAsia="zh-CN"/>
        </w:rPr>
        <w:t>；编制床位</w:t>
      </w:r>
      <w:r>
        <w:rPr>
          <w:rFonts w:hint="eastAsia" w:ascii="Times New Roman" w:hAnsi="Times New Roman" w:eastAsia="仿宋_GB2312" w:cs="Times New Roman"/>
          <w:sz w:val="32"/>
          <w:lang w:val="en-US" w:eastAsia="zh-CN"/>
        </w:rPr>
        <w:t>47张。</w:t>
      </w:r>
    </w:p>
    <w:p>
      <w:pPr>
        <w:pStyle w:val="2"/>
        <w:keepNext w:val="0"/>
        <w:keepLines w:val="0"/>
        <w:pageBreakBefore w:val="0"/>
        <w:shd w:val="clear" w:color="auto" w:fill="FFFFFF"/>
        <w:kinsoku/>
        <w:wordWrap/>
        <w:overflowPunct/>
        <w:topLinePunct w:val="0"/>
        <w:autoSpaceDN/>
        <w:bidi w:val="0"/>
        <w:adjustRightInd/>
        <w:spacing w:beforeAutospacing="0" w:afterAutospacing="0" w:line="520" w:lineRule="exact"/>
        <w:ind w:firstLine="420"/>
        <w:textAlignment w:val="auto"/>
        <w:rPr>
          <w:rFonts w:hint="default" w:ascii="楷体" w:hAnsi="楷体" w:eastAsia="楷体" w:cs="楷体"/>
          <w:sz w:val="32"/>
          <w:szCs w:val="32"/>
        </w:rPr>
      </w:pPr>
      <w:r>
        <w:rPr>
          <w:rStyle w:val="5"/>
          <w:rFonts w:ascii="楷体" w:hAnsi="楷体" w:eastAsia="楷体" w:cs="楷体"/>
          <w:sz w:val="32"/>
          <w:szCs w:val="32"/>
          <w:shd w:val="clear" w:color="auto" w:fill="FFFFFF"/>
        </w:rPr>
        <w:t>（二）机构设置</w:t>
      </w:r>
    </w:p>
    <w:p>
      <w:pPr>
        <w:pStyle w:val="2"/>
        <w:keepNext w:val="0"/>
        <w:keepLines w:val="0"/>
        <w:pageBreakBefore w:val="0"/>
        <w:shd w:val="clear" w:color="auto" w:fill="FFFFFF"/>
        <w:kinsoku/>
        <w:wordWrap/>
        <w:overflowPunct/>
        <w:topLinePunct w:val="0"/>
        <w:autoSpaceDN/>
        <w:bidi w:val="0"/>
        <w:adjustRightInd/>
        <w:spacing w:beforeAutospacing="0" w:afterAutospacing="0"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0F1115"/>
          <w:spacing w:val="0"/>
          <w:sz w:val="32"/>
          <w:szCs w:val="32"/>
          <w:shd w:val="clear" w:fill="FFFFFF"/>
        </w:rPr>
        <w:t>我院内设内科、外科、妇产科、口腔科、中医科等临床科室，以及护理部、放射科、特检科、公共卫生科、药剂科</w:t>
      </w:r>
      <w:r>
        <w:rPr>
          <w:rFonts w:hint="eastAsia" w:ascii="方正仿宋_GBK" w:hAnsi="方正仿宋_GBK" w:eastAsia="方正仿宋_GBK" w:cs="方正仿宋_GBK"/>
          <w:i w:val="0"/>
          <w:iCs w:val="0"/>
          <w:caps w:val="0"/>
          <w:color w:val="0F1115"/>
          <w:spacing w:val="0"/>
          <w:sz w:val="32"/>
          <w:szCs w:val="32"/>
          <w:shd w:val="clear" w:fill="FFFFFF"/>
          <w:lang w:eastAsia="zh-CN"/>
        </w:rPr>
        <w:t>、</w:t>
      </w:r>
      <w:r>
        <w:rPr>
          <w:rFonts w:hint="eastAsia" w:ascii="方正仿宋_GBK" w:hAnsi="方正仿宋_GBK" w:eastAsia="方正仿宋_GBK" w:cs="方正仿宋_GBK"/>
          <w:i w:val="0"/>
          <w:iCs w:val="0"/>
          <w:caps w:val="0"/>
          <w:color w:val="0F1115"/>
          <w:spacing w:val="0"/>
          <w:sz w:val="32"/>
          <w:szCs w:val="32"/>
          <w:shd w:val="clear" w:fill="FFFFFF"/>
        </w:rPr>
        <w:t>收费室等医技与保障部门</w:t>
      </w:r>
      <w:r>
        <w:rPr>
          <w:rFonts w:hint="eastAsia" w:ascii="方正仿宋_GBK" w:hAnsi="方正仿宋_GBK" w:eastAsia="方正仿宋_GBK" w:cs="方正仿宋_GBK"/>
          <w:sz w:val="32"/>
          <w:szCs w:val="32"/>
          <w:lang w:val="en-US" w:eastAsia="zh-CN"/>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textAlignment w:val="auto"/>
        <w:rPr>
          <w:rFonts w:hint="default" w:ascii="方正仿宋_GBK" w:hAnsi="方正仿宋_GBK" w:eastAsia="方正仿宋_GBK" w:cs="方正仿宋_GBK"/>
          <w:sz w:val="32"/>
          <w:szCs w:val="32"/>
        </w:rPr>
      </w:pPr>
      <w:r>
        <w:rPr>
          <w:rStyle w:val="5"/>
          <w:rFonts w:ascii="黑体" w:hAnsi="黑体" w:eastAsia="黑体" w:cs="黑体"/>
          <w:sz w:val="32"/>
          <w:szCs w:val="32"/>
          <w:shd w:val="clear" w:color="auto" w:fill="FFFFFF"/>
        </w:rPr>
        <w:t>二、</w:t>
      </w:r>
      <w:r>
        <w:rPr>
          <w:rStyle w:val="5"/>
          <w:rFonts w:hint="eastAsia" w:ascii="黑体" w:hAnsi="黑体" w:eastAsia="黑体" w:cs="黑体"/>
          <w:sz w:val="32"/>
          <w:szCs w:val="32"/>
          <w:shd w:val="clear" w:color="auto" w:fill="FFFFFF"/>
          <w:lang w:eastAsia="zh-CN"/>
        </w:rPr>
        <w:t>单位</w:t>
      </w:r>
      <w:r>
        <w:rPr>
          <w:rStyle w:val="5"/>
          <w:rFonts w:ascii="黑体" w:hAnsi="黑体" w:eastAsia="黑体" w:cs="黑体"/>
          <w:sz w:val="32"/>
          <w:szCs w:val="32"/>
          <w:shd w:val="clear" w:color="auto" w:fill="FFFFFF"/>
        </w:rPr>
        <w:t>决算</w:t>
      </w:r>
      <w:r>
        <w:rPr>
          <w:rStyle w:val="5"/>
          <w:rFonts w:hint="eastAsia" w:ascii="黑体" w:hAnsi="黑体" w:eastAsia="黑体" w:cs="黑体"/>
          <w:sz w:val="32"/>
          <w:szCs w:val="32"/>
          <w:shd w:val="clear" w:color="auto" w:fill="FFFFFF"/>
          <w:lang w:eastAsia="zh-CN"/>
        </w:rPr>
        <w:t>收支</w:t>
      </w:r>
      <w:r>
        <w:rPr>
          <w:rStyle w:val="5"/>
          <w:rFonts w:ascii="黑体" w:hAnsi="黑体" w:eastAsia="黑体" w:cs="黑体"/>
          <w:sz w:val="32"/>
          <w:szCs w:val="32"/>
          <w:shd w:val="clear" w:color="auto" w:fill="FFFFFF"/>
        </w:rPr>
        <w:t>情况说明</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2"/>
        <w:keepNext w:val="0"/>
        <w:keepLines w:val="0"/>
        <w:pageBreakBefore w:val="0"/>
        <w:shd w:val="clear" w:color="auto" w:fill="FFFFFF"/>
        <w:kinsoku/>
        <w:wordWrap/>
        <w:overflowPunct/>
        <w:topLinePunct w:val="0"/>
        <w:autoSpaceDN/>
        <w:bidi w:val="0"/>
        <w:adjustRightInd/>
        <w:spacing w:beforeAutospacing="0" w:afterAutospacing="0" w:line="520" w:lineRule="exact"/>
        <w:ind w:firstLine="643" w:firstLineChars="200"/>
        <w:textAlignment w:val="auto"/>
        <w:rPr>
          <w:rFonts w:hint="default" w:ascii="方正仿宋_GBK" w:hAnsi="方正仿宋_GBK" w:eastAsia="方正仿宋_GBK" w:cs="方正仿宋_GBK"/>
          <w:sz w:val="32"/>
          <w:szCs w:val="32"/>
        </w:rPr>
      </w:pPr>
      <w:r>
        <w:rPr>
          <w:rStyle w:val="5"/>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度收入总计1266.89万元，支出总计</w:t>
      </w:r>
      <w:r>
        <w:rPr>
          <w:rFonts w:ascii="方正仿宋_GBK" w:hAnsi="方正仿宋_GBK" w:eastAsia="方正仿宋_GBK" w:cs="方正仿宋_GBK"/>
          <w:sz w:val="32"/>
          <w:szCs w:val="32"/>
        </w:rPr>
        <w:t>1266.89</w:t>
      </w:r>
      <w:r>
        <w:rPr>
          <w:rFonts w:ascii="方正仿宋_GBK" w:hAnsi="方正仿宋_GBK" w:eastAsia="方正仿宋_GBK" w:cs="方正仿宋_GBK"/>
          <w:sz w:val="32"/>
          <w:szCs w:val="32"/>
          <w:shd w:val="clear" w:color="auto" w:fill="FFFFFF"/>
        </w:rPr>
        <w:t>万元。</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收支总额与2023年度相比</w:t>
      </w:r>
      <w:r>
        <w:rPr>
          <w:rFonts w:ascii="方正仿宋_GBK" w:hAnsi="方正仿宋_GBK" w:eastAsia="方正仿宋_GBK" w:cs="方正仿宋_GBK"/>
          <w:sz w:val="32"/>
          <w:szCs w:val="32"/>
          <w:shd w:val="clear" w:color="auto" w:fill="FFFFFF"/>
        </w:rPr>
        <w:t>，减少28.79万元，下降2.2%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本年度事业收入</w:t>
      </w: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有所</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减少，</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同时动用了</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年初结转和结余</w:t>
      </w: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资金</w:t>
      </w:r>
      <w:r>
        <w:rPr>
          <w:rFonts w:hint="eastAsia" w:ascii="方正仿宋_GBK" w:hAnsi="方正仿宋_GBK" w:eastAsia="方正仿宋_GBK" w:cs="方正仿宋_GBK"/>
          <w:b w:val="0"/>
          <w:bCs w:val="0"/>
          <w:color w:val="auto"/>
          <w:sz w:val="32"/>
          <w:szCs w:val="32"/>
          <w:shd w:val="clear" w:color="auto" w:fill="FFFFFF"/>
        </w:rPr>
        <w:t>。</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5"/>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度收入合计1256.5万元，与2023年度相比，增加165.35万元，增长15.2%，主要原因是</w:t>
      </w:r>
      <w:r>
        <w:rPr>
          <w:rFonts w:hint="eastAsia" w:ascii="方正仿宋_GBK" w:hAnsi="方正仿宋_GBK" w:eastAsia="方正仿宋_GBK" w:cs="方正仿宋_GBK"/>
          <w:i w:val="0"/>
          <w:iCs w:val="0"/>
          <w:caps w:val="0"/>
          <w:color w:val="0F1115"/>
          <w:spacing w:val="0"/>
          <w:sz w:val="32"/>
          <w:szCs w:val="32"/>
          <w:shd w:val="clear" w:fill="FFFFFF"/>
        </w:rPr>
        <w:t>本年度财政拨款收入增加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693.44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541.06</w:t>
      </w:r>
      <w:r>
        <w:rPr>
          <w:rFonts w:ascii="方正仿宋_GBK" w:hAnsi="方正仿宋_GBK" w:eastAsia="方正仿宋_GBK" w:cs="方正仿宋_GBK"/>
          <w:sz w:val="32"/>
          <w:szCs w:val="32"/>
          <w:shd w:val="clear" w:color="auto" w:fill="FFFFFF"/>
        </w:rPr>
        <w:t>万元，占43</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万元，占1.7%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i w:val="0"/>
          <w:iCs w:val="0"/>
          <w:caps w:val="0"/>
          <w:color w:val="171A1D"/>
          <w:spacing w:val="0"/>
          <w:sz w:val="32"/>
          <w:szCs w:val="32"/>
          <w:shd w:val="clear" w:fill="FFFFFF"/>
        </w:rPr>
        <w:t>使用非财政拨款结余（含专用结余）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sz w:val="32"/>
          <w:szCs w:val="32"/>
          <w:shd w:val="clear" w:color="auto" w:fill="FFFFFF"/>
        </w:rPr>
        <w:t>初结转和结余</w:t>
      </w:r>
      <w:r>
        <w:rPr>
          <w:rFonts w:ascii="方正仿宋_GBK" w:hAnsi="方正仿宋_GBK" w:eastAsia="方正仿宋_GBK" w:cs="方正仿宋_GBK"/>
          <w:sz w:val="32"/>
          <w:szCs w:val="32"/>
        </w:rPr>
        <w:t>10.39</w:t>
      </w:r>
      <w:r>
        <w:rPr>
          <w:rFonts w:ascii="方正仿宋_GBK" w:hAnsi="方正仿宋_GBK" w:eastAsia="方正仿宋_GBK" w:cs="方正仿宋_GBK"/>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5"/>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1262.6</w:t>
      </w:r>
      <w:r>
        <w:rPr>
          <w:rFonts w:ascii="方正仿宋_GBK" w:hAnsi="方正仿宋_GBK" w:eastAsia="方正仿宋_GBK" w:cs="方正仿宋_GBK"/>
          <w:sz w:val="32"/>
          <w:szCs w:val="32"/>
          <w:shd w:val="clear" w:color="auto" w:fill="FFFFFF"/>
        </w:rPr>
        <w:t>万元，与2023年度相比，减少22.69万元，下降1.8%</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主要原因是本年度部分项目支出减少</w:t>
      </w:r>
      <w:r>
        <w:rPr>
          <w:rFonts w:hint="eastAsia"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1057.2</w:t>
      </w:r>
      <w:r>
        <w:rPr>
          <w:rFonts w:ascii="方正仿宋_GBK" w:hAnsi="方正仿宋_GBK" w:eastAsia="方正仿宋_GBK" w:cs="方正仿宋_GBK"/>
          <w:sz w:val="32"/>
          <w:szCs w:val="32"/>
          <w:shd w:val="clear" w:color="auto" w:fill="FFFFFF"/>
        </w:rPr>
        <w:t>万元，占83.7%；项目支出</w:t>
      </w:r>
      <w:r>
        <w:rPr>
          <w:rFonts w:ascii="方正仿宋_GBK" w:hAnsi="方正仿宋_GBK" w:eastAsia="方正仿宋_GBK" w:cs="方正仿宋_GBK"/>
          <w:sz w:val="32"/>
          <w:szCs w:val="32"/>
        </w:rPr>
        <w:t>205.39</w:t>
      </w:r>
      <w:r>
        <w:rPr>
          <w:rFonts w:ascii="方正仿宋_GBK" w:hAnsi="方正仿宋_GBK" w:eastAsia="方正仿宋_GBK" w:cs="方正仿宋_GBK"/>
          <w:sz w:val="32"/>
          <w:szCs w:val="32"/>
          <w:shd w:val="clear" w:color="auto" w:fill="FFFFFF"/>
        </w:rPr>
        <w:t>万元，占16.2%；经营支出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4.3</w:t>
      </w:r>
      <w:r>
        <w:rPr>
          <w:rFonts w:ascii="方正仿宋_GBK" w:hAnsi="方正仿宋_GBK" w:eastAsia="方正仿宋_GBK" w:cs="方正仿宋_GBK"/>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5"/>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万元，与2023年度相比，减少10.39万元，下降100.0%，主要原因是</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年初结转和结余资金在本年度全部执行完毕</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度财政拨款收、支总计703.83万元。与202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年相比，财政拨款收、支总计各增加219.35万元，增长45.3%。</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主要原因是本年度财政拨款收入大幅增加</w:t>
      </w:r>
      <w:r>
        <w:rPr>
          <w:rFonts w:hint="eastAsia" w:ascii="方正仿宋_GBK" w:hAnsi="方正仿宋_GBK"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5"/>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693.44</w:t>
      </w:r>
      <w:r>
        <w:rPr>
          <w:rFonts w:ascii="方正仿宋_GBK" w:hAnsi="方正仿宋_GBK" w:eastAsia="方正仿宋_GBK" w:cs="方正仿宋_GBK"/>
          <w:sz w:val="32"/>
          <w:szCs w:val="32"/>
          <w:shd w:val="clear" w:color="auto" w:fill="FFFFFF"/>
        </w:rPr>
        <w:t>万元，与2023年度相比，增加258.11万元，增长59.3%。</w:t>
      </w:r>
      <w:r>
        <w:rPr>
          <w:rFonts w:hint="eastAsia" w:ascii="方正仿宋_GBK" w:hAnsi="方正仿宋_GBK" w:eastAsia="方正仿宋_GBK" w:cs="方正仿宋_GBK"/>
          <w:sz w:val="32"/>
          <w:szCs w:val="32"/>
          <w:shd w:val="clear" w:color="auto" w:fill="FFFFFF"/>
          <w:lang w:val="en-US" w:eastAsia="zh-CN"/>
        </w:rPr>
        <w:t>主要原因是本年度财政拨款收入大幅增加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较年初预算数增加180.58万元，增长35.2%。</w:t>
      </w:r>
      <w:r>
        <w:rPr>
          <w:rFonts w:hint="eastAsia" w:ascii="方正仿宋_GBK" w:hAnsi="方正仿宋_GBK" w:eastAsia="方正仿宋_GBK" w:cs="方正仿宋_GBK"/>
          <w:i w:val="0"/>
          <w:iCs w:val="0"/>
          <w:caps w:val="0"/>
          <w:color w:val="0F1115"/>
          <w:spacing w:val="0"/>
          <w:sz w:val="32"/>
          <w:szCs w:val="32"/>
          <w:shd w:val="clear" w:fill="FFFFFF"/>
        </w:rPr>
        <w:t>主要原因是财政拨款收入超预算拨付</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10.39</w:t>
      </w:r>
      <w:r>
        <w:rPr>
          <w:rFonts w:ascii="方正仿宋_GBK" w:hAnsi="方正仿宋_GBK" w:eastAsia="方正仿宋_GBK" w:cs="方正仿宋_GBK"/>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5"/>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703.83</w:t>
      </w:r>
      <w:r>
        <w:rPr>
          <w:rFonts w:ascii="方正仿宋_GBK" w:hAnsi="方正仿宋_GBK" w:eastAsia="方正仿宋_GBK" w:cs="方正仿宋_GBK"/>
          <w:sz w:val="32"/>
          <w:szCs w:val="32"/>
          <w:shd w:val="clear" w:color="auto" w:fill="FFFFFF"/>
        </w:rPr>
        <w:t>万元，与2023年度相比，增加258.12万元，增长57.9%。主要原因是</w:t>
      </w:r>
      <w:r>
        <w:rPr>
          <w:rFonts w:hint="eastAsia" w:ascii="方正仿宋_GBK" w:hAnsi="方正仿宋_GBK" w:eastAsia="方正仿宋_GBK" w:cs="方正仿宋_GBK"/>
          <w:color w:val="auto"/>
          <w:sz w:val="32"/>
          <w:szCs w:val="32"/>
          <w:shd w:val="clear" w:color="auto" w:fill="FFFFFF"/>
          <w:lang w:val="en-US" w:eastAsia="zh-CN"/>
        </w:rPr>
        <w:t>社会保障和就业支出、卫生健康支出增加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较年初预算数增加190.97万元，增长37.2%。主要原因是</w:t>
      </w:r>
      <w:r>
        <w:rPr>
          <w:rFonts w:hint="eastAsia" w:ascii="方正仿宋_GBK" w:hAnsi="方正仿宋_GBK" w:eastAsia="方正仿宋_GBK" w:cs="方正仿宋_GBK"/>
          <w:color w:val="auto"/>
          <w:sz w:val="32"/>
          <w:szCs w:val="32"/>
          <w:shd w:val="clear" w:color="auto" w:fill="FFFFFF"/>
          <w:lang w:val="en-US" w:eastAsia="zh-CN"/>
        </w:rPr>
        <w:t>社会保障和就业支出、卫生健康支出增加</w:t>
      </w:r>
      <w:r>
        <w:rPr>
          <w:rFonts w:ascii="方正仿宋_GBK" w:hAnsi="方正仿宋_GBK" w:eastAsia="方正仿宋_GBK" w:cs="方正仿宋_GBK"/>
          <w:color w:val="auto"/>
          <w:sz w:val="32"/>
          <w:szCs w:val="32"/>
          <w:shd w:val="clear" w:color="auto" w:fill="FFFFFF"/>
        </w:rPr>
        <w:t>。</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eastAsia" w:ascii="方正仿宋_GBK" w:hAnsi="方正仿宋_GBK" w:eastAsia="方正仿宋_GBK" w:cs="方正仿宋_GBK"/>
          <w:b w:val="0"/>
          <w:bCs w:val="0"/>
          <w:sz w:val="32"/>
          <w:szCs w:val="32"/>
        </w:rPr>
      </w:pPr>
      <w:r>
        <w:rPr>
          <w:rStyle w:val="5"/>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万元，与2023年度相比，减少10.39万元，下降100.0%，主要原因是</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年初财政拨款结转和结余资金在本年度全部执行完毕</w:t>
      </w:r>
      <w:r>
        <w:rPr>
          <w:rFonts w:hint="eastAsia" w:ascii="方正仿宋_GBK" w:hAnsi="方正仿宋_GBK" w:eastAsia="方正仿宋_GBK" w:cs="方正仿宋_GBK"/>
          <w:b w:val="0"/>
          <w:bCs w:val="0"/>
          <w:color w:val="auto"/>
          <w:sz w:val="32"/>
          <w:szCs w:val="32"/>
          <w:shd w:val="clear" w:color="auto" w:fill="FFFFFF"/>
        </w:rPr>
        <w:t>。</w:t>
      </w:r>
    </w:p>
    <w:p>
      <w:pPr>
        <w:pStyle w:val="2"/>
        <w:keepNext w:val="0"/>
        <w:keepLines w:val="0"/>
        <w:pageBreakBefore w:val="0"/>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5"/>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社会保障和就业支出</w:t>
      </w:r>
      <w:r>
        <w:rPr>
          <w:rFonts w:ascii="方正仿宋_GBK" w:hAnsi="方正仿宋_GBK" w:eastAsia="方正仿宋_GBK" w:cs="方正仿宋_GBK"/>
          <w:sz w:val="32"/>
          <w:szCs w:val="32"/>
        </w:rPr>
        <w:t>94.27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13.3%</w:t>
      </w:r>
      <w:r>
        <w:rPr>
          <w:rFonts w:ascii="方正仿宋_GBK" w:hAnsi="方正仿宋_GBK" w:eastAsia="方正仿宋_GBK" w:cs="方正仿宋_GBK"/>
          <w:sz w:val="32"/>
          <w:szCs w:val="32"/>
          <w:shd w:val="clear" w:color="auto" w:fill="FFFFFF"/>
        </w:rPr>
        <w:t>，较年初预算数增加14.86万元，增长18.7%，主要原因是</w:t>
      </w:r>
      <w:r>
        <w:rPr>
          <w:rFonts w:hint="eastAsia" w:ascii="方正仿宋_GBK" w:hAnsi="方正仿宋_GBK" w:eastAsia="方正仿宋_GBK" w:cs="方正仿宋_GBK"/>
          <w:sz w:val="32"/>
          <w:szCs w:val="32"/>
          <w:shd w:val="clear" w:color="auto" w:fill="FFFFFF"/>
          <w:lang w:val="en-US" w:eastAsia="zh-CN"/>
        </w:rPr>
        <w:t>人员增加及超额绩效纳入机关养老保险和职业年金。</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592.82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84.2%</w:t>
      </w:r>
      <w:r>
        <w:rPr>
          <w:rFonts w:ascii="方正仿宋_GBK" w:hAnsi="方正仿宋_GBK" w:eastAsia="方正仿宋_GBK" w:cs="方正仿宋_GBK"/>
          <w:sz w:val="32"/>
          <w:szCs w:val="32"/>
          <w:shd w:val="clear" w:color="auto" w:fill="FFFFFF"/>
        </w:rPr>
        <w:t>，较年初预算数增加176.02万元，增长42.2%，</w:t>
      </w:r>
      <w:r>
        <w:rPr>
          <w:rFonts w:hint="eastAsia" w:ascii="方正仿宋_GBK" w:hAnsi="方正仿宋_GBK" w:eastAsia="方正仿宋_GBK" w:cs="方正仿宋_GBK"/>
          <w:i w:val="0"/>
          <w:iCs w:val="0"/>
          <w:caps w:val="0"/>
          <w:color w:val="0F1115"/>
          <w:spacing w:val="0"/>
          <w:sz w:val="32"/>
          <w:szCs w:val="32"/>
          <w:shd w:val="clear" w:fill="FFFFFF"/>
        </w:rPr>
        <w:t>主要原因是医疗设备购置、药品采购、医疗保险和医疗补助等方面的支出增加</w:t>
      </w:r>
      <w:r>
        <w:rPr>
          <w:rFonts w:hint="eastAsia" w:ascii="方正仿宋_GBK" w:hAnsi="方正仿宋_GBK" w:eastAsia="方正仿宋_GBK" w:cs="方正仿宋_GBK"/>
          <w:color w:val="auto"/>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spacing w:beforeAutospacing="0" w:afterAutospacing="0" w:line="520"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住房保障支出16.74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w:t>
      </w:r>
      <w:r>
        <w:rPr>
          <w:rFonts w:ascii="方正仿宋_GBK" w:hAnsi="方正仿宋_GBK" w:eastAsia="方正仿宋_GBK" w:cs="方正仿宋_GBK"/>
          <w:sz w:val="32"/>
          <w:szCs w:val="32"/>
          <w:shd w:val="clear" w:color="auto" w:fill="FFFFFF"/>
        </w:rPr>
        <w:t>，较年初预算数增加0.1万元，增长0.6%，主要原因是</w:t>
      </w:r>
      <w:r>
        <w:rPr>
          <w:rFonts w:hint="eastAsia" w:ascii="方正仿宋_GBK" w:hAnsi="方正仿宋_GBK" w:eastAsia="方正仿宋_GBK" w:cs="方正仿宋_GBK"/>
          <w:sz w:val="32"/>
          <w:szCs w:val="32"/>
          <w:shd w:val="clear" w:color="auto" w:fill="FFFFFF"/>
          <w:lang w:val="en-US" w:eastAsia="zh-CN"/>
        </w:rPr>
        <w:t>人员变动。</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498.44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497.99</w:t>
      </w:r>
      <w:r>
        <w:rPr>
          <w:rFonts w:ascii="方正仿宋_GBK" w:hAnsi="方正仿宋_GBK" w:eastAsia="方正仿宋_GBK" w:cs="方正仿宋_GBK"/>
          <w:sz w:val="32"/>
          <w:szCs w:val="32"/>
          <w:shd w:val="clear" w:color="auto" w:fill="FFFFFF"/>
        </w:rPr>
        <w:t>万元，与2023年度相比，增加110.97万元，增长28.7%，</w:t>
      </w:r>
      <w:r>
        <w:rPr>
          <w:rFonts w:hint="eastAsia" w:ascii="方正仿宋_GBK" w:hAnsi="方正仿宋_GBK" w:eastAsia="方正仿宋_GBK" w:cs="方正仿宋_GBK"/>
          <w:i w:val="0"/>
          <w:iCs w:val="0"/>
          <w:caps w:val="0"/>
          <w:color w:val="0F1115"/>
          <w:spacing w:val="0"/>
          <w:sz w:val="32"/>
          <w:szCs w:val="32"/>
          <w:shd w:val="clear" w:fill="FFFFFF"/>
        </w:rPr>
        <w:t>主要原因是人员增加，以及超额绩效被纳入机关事业单位养老保险和职业年金缴费基数</w:t>
      </w:r>
      <w:r>
        <w:rPr>
          <w:rFonts w:ascii="方正仿宋_GBK" w:hAnsi="方正仿宋_GBK" w:eastAsia="方正仿宋_GBK" w:cs="方正仿宋_GBK"/>
          <w:color w:val="auto"/>
          <w:sz w:val="32"/>
          <w:szCs w:val="32"/>
          <w:shd w:val="clear" w:color="auto" w:fill="FFFFFF"/>
        </w:rPr>
        <w:t>。</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人员经费主要用于工资福利支出</w:t>
      </w:r>
      <w:r>
        <w:rPr>
          <w:rStyle w:val="5"/>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以及</w:t>
      </w:r>
      <w:r>
        <w:rPr>
          <w:rStyle w:val="5"/>
          <w:rFonts w:hint="eastAsia" w:ascii="方正仿宋_GBK" w:hAnsi="方正仿宋_GBK" w:eastAsia="方正仿宋_GBK" w:cs="方正仿宋_GBK"/>
          <w:b w:val="0"/>
          <w:bCs w:val="0"/>
          <w:i w:val="0"/>
          <w:iCs w:val="0"/>
          <w:caps w:val="0"/>
          <w:color w:val="0F1115"/>
          <w:spacing w:val="0"/>
          <w:sz w:val="32"/>
          <w:szCs w:val="32"/>
          <w:shd w:val="clear" w:fill="FFFFFF"/>
        </w:rPr>
        <w:t>对个人和家庭的补助</w:t>
      </w:r>
      <w:r>
        <w:rPr>
          <w:rFonts w:hint="eastAsia" w:ascii="方正仿宋_GBK" w:hAnsi="方正仿宋_GBK" w:eastAsia="方正仿宋_GBK" w:cs="方正仿宋_GBK"/>
          <w:b w:val="0"/>
          <w:bCs w:val="0"/>
          <w:color w:val="000000"/>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万元，与2023年度相比，增加0.05万元，增长12.5%，</w:t>
      </w:r>
      <w:r>
        <w:rPr>
          <w:rFonts w:hint="eastAsia" w:ascii="方正仿宋_GBK" w:hAnsi="方正仿宋_GBK" w:eastAsia="方正仿宋_GBK" w:cs="方正仿宋_GBK"/>
          <w:i w:val="0"/>
          <w:iCs w:val="0"/>
          <w:caps w:val="0"/>
          <w:color w:val="0F1115"/>
          <w:spacing w:val="0"/>
          <w:sz w:val="32"/>
          <w:szCs w:val="32"/>
          <w:shd w:val="clear" w:fill="FFFFFF"/>
        </w:rPr>
        <w:t>主要原因是日常办公经费支出略有增加</w:t>
      </w:r>
      <w:r>
        <w:rPr>
          <w:rFonts w:hint="eastAsia" w:ascii="方正仿宋_GBK" w:hAnsi="方正仿宋_GBK" w:eastAsia="方正仿宋_GBK" w:cs="方正仿宋_GBK"/>
          <w:color w:val="auto"/>
          <w:sz w:val="32"/>
          <w:szCs w:val="32"/>
          <w:shd w:val="clear" w:color="auto" w:fill="FFFFFF"/>
          <w:lang w:val="en-US" w:eastAsia="zh-CN"/>
        </w:rPr>
        <w:t>。公用经费主要用于日常办公相关支出</w:t>
      </w:r>
      <w:r>
        <w:rPr>
          <w:rFonts w:hint="eastAsia" w:ascii="方正仿宋_GBK" w:hAnsi="方正仿宋_GBK" w:eastAsia="方正仿宋_GBK" w:cs="方正仿宋_GBK"/>
          <w:b w:val="0"/>
          <w:bCs w:val="0"/>
          <w:color w:val="000000"/>
          <w:sz w:val="32"/>
          <w:szCs w:val="32"/>
        </w:rPr>
        <w:t>。</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Style w:val="5"/>
          <w:rFonts w:hint="default"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val="en-US" w:eastAsia="zh-CN"/>
        </w:rPr>
        <w:t>本单位2024年度无政府性基金预算财政拨款收支。</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textAlignment w:val="auto"/>
        <w:rPr>
          <w:rStyle w:val="5"/>
          <w:rFonts w:ascii="黑体" w:hAnsi="黑体" w:eastAsia="黑体" w:cs="黑体"/>
          <w:sz w:val="32"/>
          <w:szCs w:val="32"/>
          <w:shd w:val="clear" w:color="auto" w:fill="FFFFFF"/>
        </w:rPr>
      </w:pPr>
      <w:r>
        <w:rPr>
          <w:rStyle w:val="5"/>
          <w:rFonts w:hint="eastAsia" w:ascii="黑体" w:hAnsi="黑体" w:eastAsia="黑体" w:cs="黑体"/>
          <w:sz w:val="32"/>
          <w:szCs w:val="32"/>
          <w:shd w:val="clear" w:color="auto" w:fill="FFFFFF"/>
          <w:lang w:eastAsia="zh-CN"/>
        </w:rPr>
        <w:t>财政拨款</w:t>
      </w:r>
      <w:r>
        <w:rPr>
          <w:rStyle w:val="5"/>
          <w:rFonts w:ascii="黑体" w:hAnsi="黑体" w:eastAsia="黑体" w:cs="黑体"/>
          <w:sz w:val="32"/>
          <w:szCs w:val="32"/>
          <w:shd w:val="clear" w:color="auto" w:fill="FFFFFF"/>
        </w:rPr>
        <w:t>“三公”经费情况说明</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default"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i w:val="0"/>
          <w:iCs w:val="0"/>
          <w:caps w:val="0"/>
          <w:color w:val="0F1115"/>
          <w:spacing w:val="0"/>
          <w:sz w:val="32"/>
          <w:szCs w:val="32"/>
          <w:shd w:val="clear" w:fill="FFFFFF"/>
        </w:rPr>
        <w:t>我单位为差额拨款事业单位，财政未保障“三公”经费预算</w:t>
      </w:r>
      <w:r>
        <w:rPr>
          <w:rStyle w:val="5"/>
          <w:rFonts w:hint="eastAsia" w:ascii="方正仿宋_GBK" w:hAnsi="方正仿宋_GBK" w:eastAsia="方正仿宋_GBK" w:cs="方正仿宋_GBK"/>
          <w:b w:val="0"/>
          <w:color w:val="000000"/>
          <w:sz w:val="32"/>
          <w:szCs w:val="32"/>
          <w:lang w:val="en-US" w:eastAsia="zh-CN"/>
        </w:rPr>
        <w:t>。</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与上年持平。</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textAlignment w:val="auto"/>
        <w:rPr>
          <w:rStyle w:val="5"/>
          <w:rFonts w:hint="default" w:ascii="黑体" w:hAnsi="黑体" w:eastAsia="黑体" w:cs="黑体"/>
          <w:sz w:val="32"/>
          <w:szCs w:val="32"/>
          <w:shd w:val="clear" w:color="auto" w:fill="FFFFFF"/>
        </w:rPr>
      </w:pPr>
      <w:r>
        <w:rPr>
          <w:rStyle w:val="5"/>
          <w:rFonts w:ascii="黑体" w:hAnsi="黑体" w:eastAsia="黑体" w:cs="黑体"/>
          <w:sz w:val="32"/>
          <w:szCs w:val="32"/>
          <w:shd w:val="clear" w:color="auto" w:fill="FFFFFF"/>
        </w:rPr>
        <w:t>四、其他需要说明的事项</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我单位属于差额拨款，</w:t>
      </w:r>
      <w:r>
        <w:rPr>
          <w:rFonts w:hint="default" w:ascii="方正仿宋_GBK" w:hAnsi="方正仿宋_GBK" w:eastAsia="方正仿宋_GBK" w:cs="方正仿宋_GBK"/>
          <w:color w:val="auto"/>
          <w:sz w:val="32"/>
          <w:szCs w:val="32"/>
        </w:rPr>
        <w:t>财政未保障我单位会议费和培训费。</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p>
    <w:p>
      <w:pPr>
        <w:pStyle w:val="7"/>
        <w:keepNext w:val="0"/>
        <w:keepLines w:val="0"/>
        <w:pageBreakBefore w:val="0"/>
        <w:kinsoku/>
        <w:wordWrap/>
        <w:overflowPunct/>
        <w:topLinePunct w:val="0"/>
        <w:autoSpaceDE w:val="0"/>
        <w:autoSpaceDN/>
        <w:bidi w:val="0"/>
        <w:adjustRightInd/>
        <w:spacing w:beforeAutospacing="0" w:afterAutospacing="0" w:line="52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0.89万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i w:val="0"/>
          <w:iCs w:val="0"/>
          <w:caps w:val="0"/>
          <w:color w:val="0F1115"/>
          <w:spacing w:val="0"/>
          <w:sz w:val="32"/>
          <w:szCs w:val="32"/>
          <w:shd w:val="clear" w:fill="FFFFFF"/>
        </w:rPr>
        <w:t>主要用于采购打印机、A4纸等</w:t>
      </w:r>
      <w:r>
        <w:rPr>
          <w:rFonts w:hint="eastAsia" w:ascii="方正仿宋_GBK" w:hAnsi="方正仿宋_GBK" w:eastAsia="方正仿宋_GBK" w:cs="方正仿宋_GBK"/>
          <w:color w:val="auto"/>
          <w:sz w:val="32"/>
          <w:szCs w:val="32"/>
          <w:shd w:val="clear" w:color="auto" w:fill="FFFFFF"/>
          <w:lang w:val="en-US" w:eastAsia="zh-CN"/>
        </w:rPr>
        <w:t>。</w:t>
      </w:r>
    </w:p>
    <w:p>
      <w:pPr>
        <w:pStyle w:val="8"/>
        <w:keepNext w:val="0"/>
        <w:keepLines w:val="0"/>
        <w:pageBreakBefore w:val="0"/>
        <w:tabs>
          <w:tab w:val="center" w:pos="4153"/>
          <w:tab w:val="left" w:pos="7275"/>
        </w:tabs>
        <w:kinsoku/>
        <w:wordWrap/>
        <w:overflowPunct/>
        <w:topLinePunct w:val="0"/>
        <w:autoSpaceDN/>
        <w:bidi w:val="0"/>
        <w:adjustRightInd/>
        <w:spacing w:beforeAutospacing="0" w:afterAutospacing="0" w:line="520" w:lineRule="exact"/>
        <w:ind w:firstLine="640" w:firstLineChars="200"/>
        <w:textAlignment w:val="auto"/>
        <w:rPr>
          <w:rFonts w:hint="eastAsia" w:ascii="Times New Roman" w:hAnsi="Times New Roman" w:eastAsia="方正黑体_GBK" w:cs="宋体"/>
          <w:color w:val="auto"/>
          <w:kern w:val="0"/>
          <w:sz w:val="32"/>
          <w:szCs w:val="32"/>
          <w:highlight w:val="none"/>
        </w:rPr>
      </w:pPr>
      <w:r>
        <w:rPr>
          <w:rFonts w:hint="eastAsia" w:ascii="Times New Roman" w:hAnsi="Times New Roman" w:eastAsia="方正黑体_GBK" w:cs="宋体"/>
          <w:color w:val="auto"/>
          <w:kern w:val="0"/>
          <w:sz w:val="32"/>
          <w:szCs w:val="32"/>
          <w:highlight w:val="none"/>
        </w:rPr>
        <w:t>五、预算绩效管理情况说明</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（一）预算绩效管理工作开展情况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方正仿宋_GBK" w:hAnsi="方正仿宋_GBK" w:eastAsia="方正仿宋_GBK" w:cs="方正仿宋_GBK"/>
          <w:color w:val="auto"/>
          <w:sz w:val="32"/>
          <w:szCs w:val="32"/>
          <w:highlight w:val="none"/>
          <w:shd w:val="clear" w:color="auto" w:fill="FFFFFF"/>
        </w:rPr>
      </w:pPr>
      <w:r>
        <w:rPr>
          <w:rFonts w:hint="default" w:ascii="方正仿宋_GBK" w:hAnsi="方正仿宋_GBK" w:eastAsia="方正仿宋_GBK" w:cs="方正仿宋_GBK"/>
          <w:color w:val="auto"/>
          <w:kern w:val="0"/>
          <w:sz w:val="32"/>
          <w:szCs w:val="32"/>
          <w:highlight w:val="none"/>
          <w:lang w:val="en-US" w:eastAsia="zh-CN" w:bidi="ar"/>
        </w:rPr>
        <w:t>根据预算绩效管理要求，我</w:t>
      </w:r>
      <w:r>
        <w:rPr>
          <w:rFonts w:hint="eastAsia" w:ascii="方正仿宋_GBK" w:hAnsi="方正仿宋_GBK" w:eastAsia="方正仿宋_GBK" w:cs="方正仿宋_GBK"/>
          <w:color w:val="auto"/>
          <w:kern w:val="0"/>
          <w:sz w:val="32"/>
          <w:szCs w:val="32"/>
          <w:highlight w:val="none"/>
          <w:lang w:val="en-US" w:eastAsia="zh-CN" w:bidi="ar"/>
        </w:rPr>
        <w:t>单位</w:t>
      </w:r>
      <w:r>
        <w:rPr>
          <w:rFonts w:hint="default" w:ascii="方正仿宋_GBK" w:hAnsi="方正仿宋_GBK" w:eastAsia="方正仿宋_GBK" w:cs="方正仿宋_GBK"/>
          <w:color w:val="auto"/>
          <w:kern w:val="0"/>
          <w:sz w:val="32"/>
          <w:szCs w:val="32"/>
          <w:highlight w:val="none"/>
          <w:lang w:val="en-US" w:eastAsia="zh-CN" w:bidi="ar"/>
        </w:rPr>
        <w:t>对基本公共卫生服务区级配套（重点性）</w:t>
      </w:r>
      <w:r>
        <w:rPr>
          <w:rFonts w:hint="eastAsia" w:ascii="方正仿宋_GBK" w:hAnsi="方正仿宋_GBK" w:eastAsia="方正仿宋_GBK" w:cs="方正仿宋_GBK"/>
          <w:color w:val="auto"/>
          <w:kern w:val="0"/>
          <w:sz w:val="32"/>
          <w:szCs w:val="32"/>
          <w:highlight w:val="none"/>
          <w:lang w:val="en-US" w:eastAsia="zh-CN" w:bidi="ar"/>
        </w:rPr>
        <w:t>1</w:t>
      </w:r>
      <w:r>
        <w:rPr>
          <w:rFonts w:hint="default" w:ascii="方正仿宋_GBK" w:hAnsi="方正仿宋_GBK" w:eastAsia="方正仿宋_GBK" w:cs="方正仿宋_GBK"/>
          <w:color w:val="auto"/>
          <w:kern w:val="0"/>
          <w:sz w:val="32"/>
          <w:szCs w:val="32"/>
          <w:highlight w:val="none"/>
          <w:lang w:val="en-US" w:eastAsia="zh-CN" w:bidi="ar"/>
        </w:rPr>
        <w:t>个项目开展了绩效自评，涉及项目支出资金</w:t>
      </w:r>
      <w:r>
        <w:rPr>
          <w:rFonts w:hint="eastAsia" w:ascii="Times New Roman" w:hAnsi="Times New Roman" w:eastAsia="方正仿宋_GBK" w:cs="宋体"/>
          <w:color w:val="auto"/>
          <w:kern w:val="0"/>
          <w:sz w:val="32"/>
          <w:szCs w:val="32"/>
          <w:highlight w:val="none"/>
          <w:lang w:val="en-US" w:eastAsia="zh-CN" w:bidi="ar"/>
        </w:rPr>
        <w:t>195</w:t>
      </w:r>
      <w:r>
        <w:rPr>
          <w:rFonts w:hint="default" w:ascii="方正仿宋_GBK" w:hAnsi="方正仿宋_GBK" w:eastAsia="方正仿宋_GBK" w:cs="方正仿宋_GBK"/>
          <w:color w:val="auto"/>
          <w:kern w:val="0"/>
          <w:sz w:val="32"/>
          <w:szCs w:val="32"/>
          <w:highlight w:val="none"/>
          <w:lang w:val="en-US" w:eastAsia="zh-CN" w:bidi="ar"/>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方正楷体_GBK" w:hAnsi="宋体" w:eastAsia="方正楷体_GBK" w:cs="宋体"/>
          <w:color w:val="auto"/>
          <w:kern w:val="0"/>
          <w:sz w:val="32"/>
          <w:szCs w:val="32"/>
          <w:highlight w:val="none"/>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（二）</w:t>
      </w:r>
      <w:r>
        <w:rPr>
          <w:rFonts w:hint="default" w:ascii="方正楷体_GBK" w:hAnsi="方正楷体_GBK" w:eastAsia="方正楷体_GBK" w:cs="方正楷体_GBK"/>
          <w:color w:val="auto"/>
          <w:kern w:val="0"/>
          <w:sz w:val="32"/>
          <w:szCs w:val="32"/>
          <w:highlight w:val="none"/>
          <w:lang w:val="en-US" w:eastAsia="zh-CN" w:bidi="ar"/>
        </w:rPr>
        <w:t>绩效自评结果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方正仿宋_GBK" w:hAnsi="方正仿宋_GBK" w:eastAsia="方正仿宋_GBK" w:cs="方正仿宋_GBK"/>
          <w:color w:val="auto"/>
          <w:kern w:val="2"/>
          <w:sz w:val="32"/>
          <w:szCs w:val="32"/>
          <w:highlight w:val="none"/>
          <w:shd w:val="clear" w:color="auto" w:fill="FFFFFF"/>
        </w:rPr>
      </w:pPr>
      <w:r>
        <w:rPr>
          <w:rFonts w:hint="default" w:ascii="方正仿宋_GBK" w:hAnsi="方正仿宋_GBK" w:eastAsia="方正仿宋_GBK" w:cs="方正仿宋_GBK"/>
          <w:color w:val="auto"/>
          <w:kern w:val="0"/>
          <w:sz w:val="32"/>
          <w:szCs w:val="32"/>
          <w:highlight w:val="none"/>
          <w:lang w:val="en-US" w:eastAsia="zh-CN" w:bidi="ar"/>
        </w:rPr>
        <w:t>绩效自评结果详见附件</w:t>
      </w:r>
      <w:r>
        <w:rPr>
          <w:rFonts w:hint="eastAsia" w:ascii="Times New Roman" w:hAnsi="Times New Roman" w:eastAsia="方正仿宋_GBK" w:cs="宋体"/>
          <w:color w:val="auto"/>
          <w:kern w:val="0"/>
          <w:sz w:val="32"/>
          <w:szCs w:val="32"/>
          <w:highlight w:val="none"/>
          <w:lang w:val="en-US" w:eastAsia="zh-CN" w:bidi="ar"/>
        </w:rPr>
        <w:t>2024</w:t>
      </w:r>
      <w:r>
        <w:rPr>
          <w:rFonts w:hint="default" w:ascii="方正仿宋_GBK" w:hAnsi="方正仿宋_GBK" w:eastAsia="方正仿宋_GBK" w:cs="方正仿宋_GBK"/>
          <w:color w:val="auto"/>
          <w:kern w:val="0"/>
          <w:sz w:val="32"/>
          <w:szCs w:val="32"/>
          <w:highlight w:val="none"/>
          <w:lang w:val="en-US" w:eastAsia="zh-CN" w:bidi="ar"/>
        </w:rPr>
        <w:t>年度绩效自评公开表（《项目绩效自评结果汇总表》《项目支出绩效自评表》）。</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（三）财政绩效评价情况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Style w:val="5"/>
          <w:rFonts w:hint="eastAsia" w:ascii="方正仿宋_GBK" w:hAnsi="方正仿宋_GBK" w:eastAsia="方正仿宋_GBK" w:cs="方正仿宋_GBK"/>
          <w:b w:val="0"/>
          <w:bCs/>
          <w:color w:val="auto"/>
          <w:sz w:val="32"/>
          <w:szCs w:val="32"/>
          <w:highlight w:val="none"/>
          <w:shd w:val="clear" w:color="auto" w:fill="FFFFFF"/>
        </w:rPr>
      </w:pPr>
      <w:r>
        <w:rPr>
          <w:rStyle w:val="5"/>
          <w:rFonts w:hint="eastAsia" w:ascii="方正仿宋_GBK" w:hAnsi="方正仿宋_GBK" w:eastAsia="方正仿宋_GBK" w:cs="方正仿宋_GBK"/>
          <w:b w:val="0"/>
          <w:bCs/>
          <w:color w:val="auto"/>
          <w:sz w:val="32"/>
          <w:szCs w:val="32"/>
          <w:highlight w:val="none"/>
          <w:shd w:val="clear" w:color="auto" w:fill="FFFFFF"/>
          <w:lang w:val="en-US" w:eastAsia="zh-CN"/>
        </w:rPr>
        <w:t>区财政局未委托第三方对我单位开展绩效评价。</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黑体" w:hAnsi="黑体" w:eastAsia="黑体" w:cs="黑体"/>
          <w:sz w:val="32"/>
          <w:szCs w:val="32"/>
          <w:shd w:val="clear" w:color="auto" w:fill="FFFFFF"/>
          <w:lang w:val="en-US" w:eastAsia="zh-CN" w:bidi="ar-SA"/>
        </w:rPr>
        <w:t>六、专业名词解释</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ind w:firstLine="643" w:firstLineChars="200"/>
        <w:textAlignment w:val="auto"/>
        <w:rPr>
          <w:rFonts w:hint="eastAsia" w:ascii="方正仿宋_GBK" w:hAnsi="方正仿宋_GBK" w:eastAsia="方正仿宋_GBK" w:cs="方正仿宋_GBK"/>
          <w:kern w:val="0"/>
          <w:sz w:val="32"/>
          <w:szCs w:val="32"/>
        </w:rPr>
      </w:pPr>
      <w:r>
        <w:rPr>
          <w:rStyle w:val="5"/>
          <w:rFonts w:hint="eastAsia" w:ascii="黑体" w:hAnsi="黑体" w:eastAsia="黑体" w:cs="黑体"/>
          <w:sz w:val="32"/>
          <w:szCs w:val="32"/>
          <w:shd w:val="clear" w:color="auto" w:fill="FFFFFF"/>
          <w:lang w:val="en-US" w:eastAsia="zh-CN" w:bidi="ar-SA"/>
        </w:rPr>
        <w:t>七、决算公开联系方</w:t>
      </w:r>
      <w:bookmarkStart w:id="0" w:name="_GoBack"/>
      <w:bookmarkEnd w:id="0"/>
      <w:r>
        <w:rPr>
          <w:rStyle w:val="5"/>
          <w:rFonts w:hint="eastAsia" w:ascii="黑体" w:hAnsi="黑体" w:eastAsia="黑体" w:cs="黑体"/>
          <w:sz w:val="32"/>
          <w:szCs w:val="32"/>
          <w:shd w:val="clear" w:color="auto" w:fill="FFFFFF"/>
          <w:lang w:val="en-US" w:eastAsia="zh-CN" w:bidi="ar-SA"/>
        </w:rPr>
        <w:t>式及信息反馈渠道</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lang w:val="en-US" w:eastAsia="zh-CN"/>
        </w:rPr>
        <w:t>联系人： 廖文文</w:t>
      </w:r>
      <w:r>
        <w:rPr>
          <w:rFonts w:hint="eastAsia" w:ascii="方正仿宋_GBK" w:hAnsi="方正仿宋_GBK" w:eastAsia="方正仿宋_GBK" w:cs="方正仿宋_GBK"/>
          <w:color w:val="auto"/>
          <w:kern w:val="0"/>
          <w:sz w:val="32"/>
          <w:szCs w:val="32"/>
          <w:shd w:val="clear" w:fill="FFFFFF"/>
        </w:rPr>
        <w:t xml:space="preserve">   </w:t>
      </w:r>
    </w:p>
    <w:p>
      <w:pPr>
        <w:pStyle w:val="9"/>
        <w:keepNext w:val="0"/>
        <w:keepLines w:val="0"/>
        <w:pageBreakBefore w:val="0"/>
        <w:widowControl/>
        <w:kinsoku/>
        <w:wordWrap/>
        <w:overflowPunct/>
        <w:topLinePunct w:val="0"/>
        <w:autoSpaceDN/>
        <w:bidi w:val="0"/>
        <w:adjustRightInd/>
        <w:snapToGrid/>
        <w:spacing w:before="0" w:beforeAutospacing="0" w:after="0" w:afterAutospacing="0" w:line="520" w:lineRule="exact"/>
        <w:textAlignment w:val="auto"/>
        <w:rPr>
          <w:rFonts w:hint="default"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val="en-US" w:eastAsia="zh-CN"/>
        </w:rPr>
        <w:t xml:space="preserve">联系电话： </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40746096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57AD"/>
    <w:multiLevelType w:val="singleLevel"/>
    <w:tmpl w:val="2C1557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5204E"/>
    <w:rsid w:val="03EE3E51"/>
    <w:rsid w:val="05F34A93"/>
    <w:rsid w:val="0FE50C0A"/>
    <w:rsid w:val="16BF2469"/>
    <w:rsid w:val="184A5387"/>
    <w:rsid w:val="2E216EE2"/>
    <w:rsid w:val="38AF7DC9"/>
    <w:rsid w:val="3BFF2C57"/>
    <w:rsid w:val="3C35204E"/>
    <w:rsid w:val="42F969DF"/>
    <w:rsid w:val="476B73AA"/>
    <w:rsid w:val="61AD37EC"/>
    <w:rsid w:val="66DF7220"/>
    <w:rsid w:val="68EA0098"/>
    <w:rsid w:val="6D4C7A55"/>
    <w:rsid w:val="78F547B6"/>
    <w:rsid w:val="7CC66B25"/>
    <w:rsid w:val="7DC4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character" w:styleId="6">
    <w:name w:val="HTML Code"/>
    <w:basedOn w:val="4"/>
    <w:qFormat/>
    <w:uiPriority w:val="0"/>
    <w:rPr>
      <w:rFonts w:ascii="Courier New" w:hAnsi="Courier New"/>
      <w:sz w:val="20"/>
    </w:rPr>
  </w:style>
  <w:style w:type="paragraph" w:customStyle="1" w:styleId="7">
    <w:name w:val="列出段落1"/>
    <w:basedOn w:val="1"/>
    <w:qFormat/>
    <w:uiPriority w:val="99"/>
    <w:pPr>
      <w:ind w:firstLine="420" w:firstLineChars="200"/>
    </w:pPr>
    <w:rPr>
      <w:rFonts w:hint="default"/>
    </w:rPr>
  </w:style>
  <w:style w:type="paragraph" w:customStyle="1" w:styleId="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2025-10-11T06:23:00Z</dcterms:created>
  <dc:creator>Administrator</dc:creator>
  <cp:lastModifiedBy>Administrator</cp:lastModifiedBy>
  <dcterms:modified xsi:type="dcterms:W3CDTF">2025-10-11T06:24:40Z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