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hint="eastAsia" w:ascii="方正小标宋_GBK" w:hAnsi="Times New Roman" w:eastAsia="方正小标宋_GBK"/>
          <w:color w:val="auto"/>
          <w:sz w:val="44"/>
          <w:szCs w:val="44"/>
          <w:highlight w:val="none"/>
        </w:rPr>
      </w:pPr>
      <w:r>
        <w:rPr>
          <w:rFonts w:hint="eastAsia" w:ascii="方正小标宋_GBK" w:hAnsi="Times New Roman" w:eastAsia="方正小标宋_GBK"/>
          <w:color w:val="auto"/>
          <w:sz w:val="44"/>
          <w:szCs w:val="44"/>
          <w:highlight w:val="none"/>
          <w:lang w:eastAsia="zh-CN"/>
        </w:rPr>
        <w:t>重庆市长寿区双龙镇卫生院</w:t>
      </w:r>
    </w:p>
    <w:p>
      <w:pPr>
        <w:spacing w:line="594" w:lineRule="exact"/>
        <w:jc w:val="center"/>
        <w:rPr>
          <w:rFonts w:hint="eastAsia" w:ascii="方正小标宋_GBK" w:hAnsi="Times New Roman" w:eastAsia="方正小标宋_GBK"/>
          <w:color w:val="auto"/>
          <w:sz w:val="44"/>
          <w:szCs w:val="44"/>
          <w:highlight w:val="none"/>
        </w:rPr>
      </w:pPr>
      <w:r>
        <w:rPr>
          <w:rFonts w:hint="eastAsia" w:ascii="方正小标宋_GBK" w:hAnsi="Times New Roman" w:eastAsia="方正小标宋_GBK"/>
          <w:color w:val="auto"/>
          <w:sz w:val="44"/>
          <w:szCs w:val="44"/>
          <w:highlight w:val="none"/>
        </w:rPr>
        <w:t>202</w:t>
      </w:r>
      <w:r>
        <w:rPr>
          <w:rFonts w:hint="eastAsia" w:ascii="方正小标宋_GBK" w:hAnsi="Times New Roman" w:eastAsia="方正小标宋_GBK"/>
          <w:color w:val="auto"/>
          <w:sz w:val="44"/>
          <w:szCs w:val="44"/>
          <w:highlight w:val="none"/>
          <w:lang w:val="en-US" w:eastAsia="zh-CN"/>
        </w:rPr>
        <w:t>4</w:t>
      </w:r>
      <w:r>
        <w:rPr>
          <w:rFonts w:hint="eastAsia" w:ascii="方正小标宋_GBK" w:hAnsi="Times New Roman" w:eastAsia="方正小标宋_GBK"/>
          <w:color w:val="auto"/>
          <w:sz w:val="44"/>
          <w:szCs w:val="44"/>
          <w:highlight w:val="none"/>
        </w:rPr>
        <w:t>年度</w:t>
      </w:r>
      <w:r>
        <w:rPr>
          <w:rFonts w:hint="eastAsia" w:ascii="方正小标宋_GBK" w:hAnsi="Times New Roman" w:eastAsia="方正小标宋_GBK"/>
          <w:color w:val="auto"/>
          <w:sz w:val="44"/>
          <w:szCs w:val="44"/>
          <w:highlight w:val="none"/>
          <w:lang w:val="en-US" w:eastAsia="zh-CN"/>
        </w:rPr>
        <w:t>单位</w:t>
      </w:r>
      <w:r>
        <w:rPr>
          <w:rFonts w:hint="eastAsia" w:ascii="方正小标宋_GBK" w:hAnsi="Times New Roman" w:eastAsia="方正小标宋_GBK"/>
          <w:color w:val="auto"/>
          <w:sz w:val="44"/>
          <w:szCs w:val="44"/>
          <w:highlight w:val="none"/>
        </w:rPr>
        <w:t>决算公开说明</w:t>
      </w:r>
    </w:p>
    <w:p>
      <w:pPr>
        <w:spacing w:line="594" w:lineRule="exact"/>
        <w:rPr>
          <w:rFonts w:hint="eastAsia" w:ascii="方正小标宋_GBK" w:hAnsi="Times New Roman" w:eastAsia="方正小标宋_GBK"/>
          <w:b/>
          <w:color w:val="auto"/>
          <w:sz w:val="44"/>
          <w:szCs w:val="44"/>
          <w:highlight w:val="none"/>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一、</w:t>
      </w:r>
      <w:r>
        <w:rPr>
          <w:rStyle w:val="10"/>
          <w:rFonts w:hint="eastAsia" w:ascii="黑体" w:hAnsi="黑体" w:eastAsia="黑体" w:cs="黑体"/>
          <w:color w:val="auto"/>
          <w:sz w:val="32"/>
          <w:szCs w:val="32"/>
          <w:shd w:val="clear" w:color="auto" w:fill="FFFFFF"/>
          <w:lang w:eastAsia="zh-CN"/>
        </w:rPr>
        <w:t>单位</w:t>
      </w:r>
      <w:r>
        <w:rPr>
          <w:rStyle w:val="10"/>
          <w:rFonts w:ascii="黑体" w:hAnsi="黑体" w:eastAsia="黑体" w:cs="黑体"/>
          <w:color w:val="auto"/>
          <w:sz w:val="32"/>
          <w:szCs w:val="32"/>
          <w:shd w:val="clear" w:color="auto" w:fill="FFFFFF"/>
        </w:rPr>
        <w:t>基本情况</w:t>
      </w:r>
    </w:p>
    <w:p>
      <w:pPr>
        <w:pStyle w:val="16"/>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before="0" w:beforeLines="0" w:after="0" w:afterLines="0" w:line="594" w:lineRule="exact"/>
        <w:ind w:left="0" w:leftChars="0" w:right="0" w:rightChars="0" w:firstLine="643" w:firstLineChars="200"/>
        <w:jc w:val="both"/>
        <w:textAlignment w:val="auto"/>
        <w:outlineLvl w:val="9"/>
        <w:rPr>
          <w:rStyle w:val="10"/>
          <w:rFonts w:ascii="楷体" w:hAnsi="楷体" w:eastAsia="楷体" w:cs="楷体"/>
          <w:color w:val="auto"/>
          <w:sz w:val="32"/>
          <w:szCs w:val="32"/>
          <w:shd w:val="clear" w:color="auto" w:fill="FFFFFF"/>
        </w:rPr>
      </w:pPr>
      <w:r>
        <w:rPr>
          <w:rStyle w:val="10"/>
          <w:rFonts w:ascii="楷体" w:hAnsi="楷体" w:eastAsia="楷体" w:cs="楷体"/>
          <w:color w:val="auto"/>
          <w:sz w:val="32"/>
          <w:szCs w:val="32"/>
          <w:shd w:val="clear" w:color="auto" w:fill="FFFFFF"/>
        </w:rPr>
        <w:t>（一）职能职责</w:t>
      </w:r>
    </w:p>
    <w:p>
      <w:pPr>
        <w:pStyle w:val="16"/>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szCs w:val="32"/>
          <w:highlight w:val="none"/>
        </w:rPr>
        <w:t>重庆市长寿区</w:t>
      </w:r>
      <w:r>
        <w:rPr>
          <w:rFonts w:hint="eastAsia" w:ascii="仿宋_GB2312" w:hAnsi="仿宋_GB2312" w:eastAsia="仿宋_GB2312" w:cs="仿宋_GB2312"/>
          <w:color w:val="auto"/>
          <w:sz w:val="32"/>
          <w:szCs w:val="32"/>
          <w:highlight w:val="none"/>
          <w:lang w:eastAsia="zh-CN"/>
        </w:rPr>
        <w:t>双龙</w:t>
      </w:r>
      <w:r>
        <w:rPr>
          <w:rFonts w:hint="eastAsia" w:ascii="仿宋_GB2312" w:hAnsi="仿宋_GB2312" w:eastAsia="仿宋_GB2312" w:cs="仿宋_GB2312"/>
          <w:color w:val="auto"/>
          <w:sz w:val="32"/>
          <w:szCs w:val="32"/>
          <w:highlight w:val="none"/>
        </w:rPr>
        <w:t>镇卫生院系财政差额拨款事业单位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highlight w:val="none"/>
        </w:rPr>
        <w:t>城镇职工医保及城乡居民医保定点医疗机构</w:t>
      </w:r>
      <w:r>
        <w:rPr>
          <w:rFonts w:hint="eastAsia" w:ascii="仿宋_GB2312" w:hAnsi="仿宋_GB2312" w:eastAsia="仿宋_GB2312" w:cs="仿宋_GB2312"/>
          <w:color w:val="auto"/>
          <w:sz w:val="32"/>
          <w:highlight w:val="none"/>
          <w:lang w:val="en-US" w:eastAsia="zh-CN"/>
        </w:rPr>
        <w:t>。</w:t>
      </w:r>
    </w:p>
    <w:p>
      <w:pPr>
        <w:pStyle w:val="16"/>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before="0" w:beforeLines="0" w:after="0" w:afterLines="0" w:line="594" w:lineRule="exact"/>
        <w:ind w:left="0" w:leftChars="0" w:right="0" w:rightChars="0" w:firstLine="643" w:firstLineChars="200"/>
        <w:jc w:val="both"/>
        <w:textAlignment w:val="auto"/>
        <w:outlineLvl w:val="9"/>
        <w:rPr>
          <w:rStyle w:val="10"/>
          <w:rFonts w:ascii="楷体" w:hAnsi="楷体" w:eastAsia="楷体" w:cs="楷体"/>
          <w:color w:val="auto"/>
          <w:sz w:val="32"/>
          <w:szCs w:val="32"/>
          <w:shd w:val="clear" w:color="auto" w:fill="FFFFFF"/>
        </w:rPr>
      </w:pPr>
      <w:r>
        <w:rPr>
          <w:rStyle w:val="10"/>
          <w:rFonts w:hint="eastAsia" w:ascii="方正仿宋_GBK" w:hAnsi="方正仿宋_GBK" w:eastAsia="方正仿宋_GBK" w:cs="方正仿宋_GBK"/>
          <w:color w:val="auto"/>
          <w:kern w:val="0"/>
          <w:sz w:val="32"/>
          <w:szCs w:val="32"/>
          <w:shd w:val="clear" w:color="auto" w:fill="FFFFFF"/>
          <w:lang w:val="en-US" w:eastAsia="zh-CN" w:bidi="ar-SA"/>
        </w:rPr>
        <w:t xml:space="preserve"> 1.公共卫生服务：</w:t>
      </w:r>
      <w:r>
        <w:rPr>
          <w:rFonts w:hint="eastAsia" w:ascii="方正仿宋_GBK" w:hAnsi="方正仿宋_GBK" w:eastAsia="方正仿宋_GBK" w:cs="方正仿宋_GBK"/>
          <w:color w:val="auto"/>
          <w:sz w:val="32"/>
          <w:szCs w:val="32"/>
        </w:rPr>
        <w:t>提供辖区内城乡居民健康档案管理、健康教育、预防接种、传染病防治、儿童保健、孕产妇保健、老年人保健、慢性病管理、重性精神病管理；突发公共卫生事件报告和处理、疾控重大公共卫生服务、医疗卫生信息统计报告、爱国卫生相关工作及公共卫生监督协管等服务。</w:t>
      </w:r>
      <w:r>
        <w:rPr>
          <w:rFonts w:hint="eastAsia" w:ascii="方正仿宋_GBK" w:hAnsi="方正仿宋_GBK" w:eastAsia="方正仿宋_GBK" w:cs="方正仿宋_GBK"/>
          <w:color w:val="auto"/>
          <w:sz w:val="32"/>
          <w:szCs w:val="32"/>
        </w:rPr>
        <w:br w:type="textWrapping"/>
      </w:r>
      <w:r>
        <w:rPr>
          <w:rFonts w:hint="eastAsia" w:ascii="方正仿宋_GBK" w:hAnsi="方正仿宋_GBK" w:eastAsia="方正仿宋_GBK" w:cs="方正仿宋_GBK"/>
          <w:color w:val="auto"/>
          <w:sz w:val="32"/>
          <w:szCs w:val="32"/>
          <w:lang w:val="en-US" w:eastAsia="zh-CN"/>
        </w:rPr>
        <w:t xml:space="preserve">  </w:t>
      </w:r>
      <w:r>
        <w:rPr>
          <w:rStyle w:val="10"/>
          <w:rFonts w:hint="eastAsia" w:ascii="方正仿宋_GBK" w:hAnsi="方正仿宋_GBK" w:eastAsia="方正仿宋_GBK" w:cs="方正仿宋_GBK"/>
          <w:color w:val="auto"/>
          <w:kern w:val="0"/>
          <w:sz w:val="32"/>
          <w:szCs w:val="32"/>
          <w:shd w:val="clear" w:color="auto" w:fill="FFFFFF"/>
          <w:lang w:val="en-US" w:eastAsia="zh-CN" w:bidi="ar-SA"/>
        </w:rPr>
        <w:t xml:space="preserve"> 2.基本医疗服务：</w:t>
      </w:r>
      <w:r>
        <w:rPr>
          <w:rFonts w:hint="eastAsia" w:ascii="方正仿宋_GBK" w:hAnsi="方正仿宋_GBK" w:eastAsia="方正仿宋_GBK" w:cs="方正仿宋_GBK"/>
          <w:color w:val="auto"/>
          <w:sz w:val="32"/>
          <w:szCs w:val="32"/>
        </w:rPr>
        <w:t>开展一般常见病、多发病和中医的基本医疗服务；现场救护和转诊服务；慢性病管理；计划生育技术服务。</w:t>
      </w:r>
      <w:r>
        <w:rPr>
          <w:rFonts w:hint="eastAsia" w:ascii="方正仿宋_GBK" w:hAnsi="方正仿宋_GBK" w:eastAsia="方正仿宋_GBK" w:cs="方正仿宋_GBK"/>
          <w:color w:val="auto"/>
          <w:sz w:val="32"/>
          <w:szCs w:val="32"/>
        </w:rPr>
        <w:br w:type="textWrapping"/>
      </w:r>
      <w:r>
        <w:rPr>
          <w:rFonts w:hint="eastAsia" w:ascii="方正仿宋_GBK" w:hAnsi="方正仿宋_GBK" w:eastAsia="方正仿宋_GBK" w:cs="方正仿宋_GBK"/>
          <w:color w:val="auto"/>
          <w:sz w:val="32"/>
          <w:szCs w:val="32"/>
          <w:lang w:val="en-US" w:eastAsia="zh-CN"/>
        </w:rPr>
        <w:t xml:space="preserve">  </w:t>
      </w:r>
      <w:r>
        <w:rPr>
          <w:rStyle w:val="10"/>
          <w:rFonts w:hint="eastAsia" w:ascii="方正仿宋_GBK" w:hAnsi="方正仿宋_GBK" w:eastAsia="方正仿宋_GBK" w:cs="方正仿宋_GBK"/>
          <w:color w:val="auto"/>
          <w:kern w:val="0"/>
          <w:sz w:val="32"/>
          <w:szCs w:val="32"/>
          <w:shd w:val="clear" w:color="auto" w:fill="FFFFFF"/>
          <w:lang w:val="en-US" w:eastAsia="zh-CN" w:bidi="ar-SA"/>
        </w:rPr>
        <w:t xml:space="preserve"> 3.生殖健康服务：</w:t>
      </w:r>
      <w:r>
        <w:rPr>
          <w:rFonts w:hint="eastAsia" w:ascii="方正仿宋_GBK" w:hAnsi="方正仿宋_GBK" w:eastAsia="方正仿宋_GBK" w:cs="方正仿宋_GBK"/>
          <w:color w:val="auto"/>
          <w:sz w:val="32"/>
          <w:szCs w:val="32"/>
        </w:rPr>
        <w:t>负责避孕药具的指导、发放，新生儿出生缺陷一级干预，生殖健康知识宣传等工作。</w:t>
      </w:r>
      <w:r>
        <w:rPr>
          <w:rFonts w:hint="eastAsia" w:ascii="方正仿宋_GBK" w:hAnsi="方正仿宋_GBK" w:eastAsia="方正仿宋_GBK" w:cs="方正仿宋_GBK"/>
          <w:color w:val="auto"/>
          <w:sz w:val="32"/>
          <w:szCs w:val="32"/>
        </w:rPr>
        <w:br w:type="textWrapping"/>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4.负责管理使用本单位国有资产。</w:t>
      </w:r>
      <w:r>
        <w:rPr>
          <w:rFonts w:hint="eastAsia" w:ascii="方正仿宋_GBK" w:hAnsi="方正仿宋_GBK" w:eastAsia="方正仿宋_GBK" w:cs="方正仿宋_GBK"/>
          <w:color w:val="auto"/>
          <w:sz w:val="32"/>
          <w:szCs w:val="32"/>
        </w:rPr>
        <w:br w:type="textWrapping"/>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5.完成上级交办的其他工作。</w:t>
      </w:r>
      <w:r>
        <w:rPr>
          <w:rFonts w:hint="eastAsia" w:ascii="方正仿宋_GBK" w:hAnsi="方正仿宋_GBK" w:eastAsia="方正仿宋_GBK" w:cs="方正仿宋_GBK"/>
          <w:color w:val="auto"/>
          <w:sz w:val="32"/>
          <w:szCs w:val="32"/>
        </w:rPr>
        <w:br w:type="textWrapping"/>
      </w:r>
      <w:r>
        <w:rPr>
          <w:rFonts w:hint="eastAsia" w:ascii="宋体" w:hAnsi="宋体" w:eastAsia="宋体" w:cs="宋体"/>
          <w:color w:val="auto"/>
          <w:sz w:val="32"/>
          <w:szCs w:val="32"/>
          <w:lang w:val="en-US" w:eastAsia="zh-CN"/>
        </w:rPr>
        <w:t xml:space="preserve">   </w:t>
      </w:r>
      <w:r>
        <w:rPr>
          <w:rFonts w:hint="eastAsia" w:ascii="方正仿宋_GBK" w:hAnsi="方正仿宋_GBK" w:eastAsia="方正仿宋_GBK" w:cs="方正仿宋_GBK"/>
          <w:color w:val="auto"/>
          <w:sz w:val="32"/>
          <w:szCs w:val="32"/>
        </w:rPr>
        <w:t>6.协助街道制订和组织实施初级卫生保健、卫生事业发展规划和年度计划；指导辖区内诊所、村卫生室业务工作，对村医和村妇幼保健人员进行相关技能培训；开展城乡居民合作医疗保险政策法规宣传与咨询，协助做好相应的医疗服务和补偿结算等工作。</w:t>
      </w:r>
    </w:p>
    <w:p>
      <w:pPr>
        <w:pStyle w:val="16"/>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before="0" w:beforeLines="0" w:after="0" w:afterLines="0" w:line="594" w:lineRule="exact"/>
        <w:ind w:left="0" w:leftChars="0" w:right="0" w:rightChars="0" w:firstLine="643" w:firstLineChars="200"/>
        <w:jc w:val="both"/>
        <w:textAlignment w:val="auto"/>
        <w:outlineLvl w:val="9"/>
        <w:rPr>
          <w:rStyle w:val="10"/>
          <w:rFonts w:ascii="楷体" w:hAnsi="楷体" w:eastAsia="楷体" w:cs="楷体"/>
          <w:color w:val="auto"/>
          <w:sz w:val="32"/>
          <w:szCs w:val="32"/>
          <w:shd w:val="clear" w:color="auto" w:fill="FFFFFF"/>
        </w:rPr>
      </w:pPr>
      <w:r>
        <w:rPr>
          <w:rStyle w:val="10"/>
          <w:rFonts w:ascii="楷体" w:hAnsi="楷体" w:eastAsia="楷体" w:cs="楷体"/>
          <w:color w:val="auto"/>
          <w:sz w:val="32"/>
          <w:szCs w:val="32"/>
          <w:shd w:val="clear" w:color="auto" w:fill="FFFFFF"/>
        </w:rPr>
        <w:t>（二）机构设置</w:t>
      </w:r>
    </w:p>
    <w:p>
      <w:pPr>
        <w:pStyle w:val="16"/>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我院以农村居民和家庭、学校等场所为服务对象，主要提供预防保健、健康教育、卫生咨询等公共卫生服务，切实保证常见病、多发病的基本医疗服务，协同做好业务培训、卫生监督、信息收集等综合管理服务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主要承担以下职责</w:t>
      </w:r>
      <w:r>
        <w:rPr>
          <w:rFonts w:hint="eastAsia" w:ascii="仿宋_GB2312" w:hAnsi="仿宋_GB2312" w:eastAsia="仿宋_GB2312" w:cs="仿宋_GB2312"/>
          <w:color w:val="auto"/>
          <w:sz w:val="32"/>
          <w:szCs w:val="32"/>
          <w:highlight w:val="none"/>
          <w:lang w:eastAsia="zh-CN"/>
        </w:rPr>
        <w:t>：公共卫生服务、基本医疗服务、综合管理服务。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二、</w:t>
      </w:r>
      <w:r>
        <w:rPr>
          <w:rStyle w:val="10"/>
          <w:rFonts w:hint="eastAsia" w:ascii="黑体" w:hAnsi="黑体" w:eastAsia="黑体" w:cs="黑体"/>
          <w:color w:val="auto"/>
          <w:sz w:val="32"/>
          <w:szCs w:val="32"/>
          <w:shd w:val="clear" w:color="auto" w:fill="FFFFFF"/>
          <w:lang w:eastAsia="zh-CN"/>
        </w:rPr>
        <w:t>单位</w:t>
      </w:r>
      <w:r>
        <w:rPr>
          <w:rStyle w:val="10"/>
          <w:rFonts w:ascii="黑体" w:hAnsi="黑体" w:eastAsia="黑体" w:cs="黑体"/>
          <w:color w:val="auto"/>
          <w:sz w:val="32"/>
          <w:szCs w:val="32"/>
          <w:shd w:val="clear" w:color="auto" w:fill="FFFFFF"/>
        </w:rPr>
        <w:t>决算</w:t>
      </w:r>
      <w:r>
        <w:rPr>
          <w:rStyle w:val="10"/>
          <w:rFonts w:hint="eastAsia" w:ascii="黑体" w:hAnsi="黑体" w:eastAsia="黑体" w:cs="黑体"/>
          <w:color w:val="auto"/>
          <w:sz w:val="32"/>
          <w:szCs w:val="32"/>
          <w:shd w:val="clear" w:color="auto" w:fill="FFFFFF"/>
          <w:lang w:eastAsia="zh-CN"/>
        </w:rPr>
        <w:t>收支</w:t>
      </w:r>
      <w:r>
        <w:rPr>
          <w:rStyle w:val="10"/>
          <w:rFonts w:ascii="黑体" w:hAnsi="黑体" w:eastAsia="黑体" w:cs="黑体"/>
          <w:color w:val="auto"/>
          <w:sz w:val="32"/>
          <w:szCs w:val="32"/>
          <w:shd w:val="clear" w:color="auto" w:fill="FFFFFF"/>
        </w:rPr>
        <w:t>情况说明</w:t>
      </w:r>
    </w:p>
    <w:p>
      <w:pPr>
        <w:pStyle w:val="11"/>
        <w:autoSpaceDE w:val="0"/>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11"/>
        <w:autoSpaceDE w:val="0"/>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度收入总计2223.26万元，支出总计</w:t>
      </w:r>
      <w:r>
        <w:rPr>
          <w:rFonts w:ascii="方正仿宋_GBK" w:hAnsi="方正仿宋_GBK" w:eastAsia="方正仿宋_GBK" w:cs="方正仿宋_GBK"/>
          <w:color w:val="auto"/>
          <w:sz w:val="32"/>
          <w:szCs w:val="32"/>
        </w:rPr>
        <w:t>2223.26</w:t>
      </w:r>
      <w:r>
        <w:rPr>
          <w:rFonts w:ascii="方正仿宋_GBK" w:hAnsi="方正仿宋_GBK" w:eastAsia="方正仿宋_GBK" w:cs="方正仿宋_GBK"/>
          <w:color w:val="auto"/>
          <w:sz w:val="32"/>
          <w:szCs w:val="32"/>
          <w:shd w:val="clear" w:color="auto" w:fill="FFFFFF"/>
        </w:rPr>
        <w:t>万元。收、支与2023年度相比，增加166.46万元，增长8.1%。</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度收入合计2182.25万元，与2023年度相比，增加165.52万元，增长8.2%，其中：财政拨款收入</w:t>
      </w:r>
      <w:r>
        <w:rPr>
          <w:rFonts w:ascii="方正仿宋_GBK" w:hAnsi="方正仿宋_GBK" w:eastAsia="方正仿宋_GBK" w:cs="方正仿宋_GBK"/>
          <w:color w:val="auto"/>
          <w:sz w:val="32"/>
          <w:szCs w:val="32"/>
        </w:rPr>
        <w:t>1420.40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65.09%</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691.11</w:t>
      </w:r>
      <w:r>
        <w:rPr>
          <w:rFonts w:ascii="方正仿宋_GBK" w:hAnsi="方正仿宋_GBK" w:eastAsia="方正仿宋_GBK" w:cs="方正仿宋_GBK"/>
          <w:color w:val="auto"/>
          <w:sz w:val="32"/>
          <w:szCs w:val="32"/>
          <w:shd w:val="clear" w:color="auto" w:fill="FFFFFF"/>
        </w:rPr>
        <w:t>万元，占31.67%；</w:t>
      </w:r>
      <w:r>
        <w:rPr>
          <w:rFonts w:hint="eastAsia" w:ascii="方正仿宋_GBK" w:hAnsi="方正仿宋_GBK" w:eastAsia="方正仿宋_GBK" w:cs="方正仿宋_GBK"/>
          <w:color w:val="auto"/>
          <w:sz w:val="32"/>
          <w:szCs w:val="32"/>
          <w:shd w:val="clear" w:color="auto" w:fill="FFFFFF"/>
        </w:rPr>
        <w:t>去年年末有新冠中药汤剂收入，今年无，今年医保款未及时支付，未确认为事业收入</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经营收入</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万元，占0.0</w:t>
      </w:r>
      <w:bookmarkStart w:id="0" w:name="_GoBack"/>
      <w:bookmarkEnd w:id="0"/>
      <w:r>
        <w:rPr>
          <w:rFonts w:ascii="方正仿宋_GBK" w:hAnsi="方正仿宋_GBK" w:eastAsia="方正仿宋_GBK" w:cs="方正仿宋_GBK"/>
          <w:color w:val="auto"/>
          <w:sz w:val="32"/>
          <w:szCs w:val="32"/>
          <w:shd w:val="clear" w:color="auto" w:fill="FFFFFF"/>
        </w:rPr>
        <w:t>%；其他收入</w:t>
      </w:r>
      <w:r>
        <w:rPr>
          <w:rFonts w:ascii="方正仿宋_GBK" w:hAnsi="方正仿宋_GBK" w:eastAsia="方正仿宋_GBK" w:cs="方正仿宋_GBK"/>
          <w:color w:val="auto"/>
          <w:sz w:val="32"/>
          <w:szCs w:val="32"/>
        </w:rPr>
        <w:t>70.74</w:t>
      </w:r>
      <w:r>
        <w:rPr>
          <w:rFonts w:ascii="方正仿宋_GBK" w:hAnsi="方正仿宋_GBK" w:eastAsia="方正仿宋_GBK" w:cs="方正仿宋_GBK"/>
          <w:color w:val="auto"/>
          <w:sz w:val="32"/>
          <w:szCs w:val="32"/>
          <w:shd w:val="clear" w:color="auto" w:fill="FFFFFF"/>
        </w:rPr>
        <w:t>万元，占3.24%</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为</w:t>
      </w:r>
      <w:r>
        <w:rPr>
          <w:rFonts w:hint="eastAsia" w:ascii="方正仿宋_GBK" w:hAnsi="方正仿宋_GBK" w:eastAsia="方正仿宋_GBK" w:cs="方正仿宋_GBK"/>
          <w:color w:val="auto"/>
          <w:sz w:val="32"/>
          <w:szCs w:val="32"/>
          <w:shd w:val="clear" w:color="auto" w:fill="FFFFFF"/>
        </w:rPr>
        <w:t>食堂收入增加了6万多，卫健委拨医老年健康与医养增加5.36万</w:t>
      </w:r>
      <w:r>
        <w:rPr>
          <w:rFonts w:ascii="方正仿宋_GBK" w:hAnsi="方正仿宋_GBK" w:eastAsia="方正仿宋_GBK" w:cs="方正仿宋_GBK"/>
          <w:color w:val="auto"/>
          <w:sz w:val="32"/>
          <w:szCs w:val="32"/>
          <w:shd w:val="clear" w:color="auto" w:fill="FFFFFF"/>
        </w:rPr>
        <w:t>。此外，使用非财政拨款结余和专用结余</w:t>
      </w:r>
      <w:r>
        <w:rPr>
          <w:rFonts w:ascii="方正仿宋_GBK" w:hAnsi="方正仿宋_GBK" w:eastAsia="方正仿宋_GBK" w:cs="方正仿宋_GBK"/>
          <w:color w:val="auto"/>
          <w:sz w:val="32"/>
          <w:szCs w:val="32"/>
        </w:rPr>
        <w:t>38.64</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2.37</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2220.89</w:t>
      </w:r>
      <w:r>
        <w:rPr>
          <w:rFonts w:ascii="方正仿宋_GBK" w:hAnsi="方正仿宋_GBK" w:eastAsia="方正仿宋_GBK" w:cs="方正仿宋_GBK"/>
          <w:color w:val="auto"/>
          <w:sz w:val="32"/>
          <w:szCs w:val="32"/>
          <w:shd w:val="clear" w:color="auto" w:fill="FFFFFF"/>
        </w:rPr>
        <w:t>万元，与2023年度相比，增加194.40万元，增长9.6%，其中：基本支出</w:t>
      </w:r>
      <w:r>
        <w:rPr>
          <w:rFonts w:ascii="方正仿宋_GBK" w:hAnsi="方正仿宋_GBK" w:eastAsia="方正仿宋_GBK" w:cs="方正仿宋_GBK"/>
          <w:color w:val="auto"/>
          <w:sz w:val="32"/>
          <w:szCs w:val="32"/>
        </w:rPr>
        <w:t>2029.18</w:t>
      </w:r>
      <w:r>
        <w:rPr>
          <w:rFonts w:ascii="方正仿宋_GBK" w:hAnsi="方正仿宋_GBK" w:eastAsia="方正仿宋_GBK" w:cs="方正仿宋_GBK"/>
          <w:color w:val="auto"/>
          <w:sz w:val="32"/>
          <w:szCs w:val="32"/>
          <w:shd w:val="clear" w:color="auto" w:fill="FFFFFF"/>
        </w:rPr>
        <w:t>万元，占91.37%；项目支出</w:t>
      </w:r>
      <w:r>
        <w:rPr>
          <w:rFonts w:ascii="方正仿宋_GBK" w:hAnsi="方正仿宋_GBK" w:eastAsia="方正仿宋_GBK" w:cs="方正仿宋_GBK"/>
          <w:color w:val="auto"/>
          <w:sz w:val="32"/>
          <w:szCs w:val="32"/>
        </w:rPr>
        <w:t>191.71</w:t>
      </w:r>
      <w:r>
        <w:rPr>
          <w:rFonts w:ascii="方正仿宋_GBK" w:hAnsi="方正仿宋_GBK" w:eastAsia="方正仿宋_GBK" w:cs="方正仿宋_GBK"/>
          <w:color w:val="auto"/>
          <w:sz w:val="32"/>
          <w:szCs w:val="32"/>
          <w:shd w:val="clear" w:color="auto" w:fill="FFFFFF"/>
        </w:rPr>
        <w:t>万元，占8.63%；经营支出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万元，占0.0%。此外，结余分配</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今年财政补助与实际收到有差额，差额部份列入公用经费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今年发放以前年度绩效130万，去年发放以前年度绩效283万</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3" w:firstLineChars="200"/>
        <w:jc w:val="both"/>
        <w:rPr>
          <w:rStyle w:val="10"/>
          <w:rFonts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4.结转结余情况。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2.37</w:t>
      </w:r>
      <w:r>
        <w:rPr>
          <w:rFonts w:ascii="方正仿宋_GBK" w:hAnsi="方正仿宋_GBK" w:eastAsia="方正仿宋_GBK" w:cs="方正仿宋_GBK"/>
          <w:color w:val="auto"/>
          <w:sz w:val="32"/>
          <w:szCs w:val="32"/>
          <w:shd w:val="clear" w:color="auto" w:fill="FFFFFF"/>
        </w:rPr>
        <w:t>万元，与2023年度相比，无增减。</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度财政拨款收、支总计1422.77万元。与202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年相比，财政拨款收、支总计各增加309.07万元，增长27.8%。</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1420.40</w:t>
      </w:r>
      <w:r>
        <w:rPr>
          <w:rFonts w:ascii="方正仿宋_GBK" w:hAnsi="方正仿宋_GBK" w:eastAsia="方正仿宋_GBK" w:cs="方正仿宋_GBK"/>
          <w:color w:val="auto"/>
          <w:sz w:val="32"/>
          <w:szCs w:val="32"/>
          <w:shd w:val="clear" w:color="auto" w:fill="FFFFFF"/>
        </w:rPr>
        <w:t>万元，与2023年度相比，增加346.77万元，增长32.3%。较年初预算数增加228.56万元，增长19.2%。此外，年初财政拨款结转和结余</w:t>
      </w:r>
      <w:r>
        <w:rPr>
          <w:rFonts w:ascii="方正仿宋_GBK" w:hAnsi="方正仿宋_GBK" w:eastAsia="方正仿宋_GBK" w:cs="方正仿宋_GBK"/>
          <w:color w:val="auto"/>
          <w:sz w:val="32"/>
          <w:szCs w:val="32"/>
        </w:rPr>
        <w:t>2.37</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10"/>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1420.40</w:t>
      </w:r>
      <w:r>
        <w:rPr>
          <w:rFonts w:ascii="方正仿宋_GBK" w:hAnsi="方正仿宋_GBK" w:eastAsia="方正仿宋_GBK" w:cs="方正仿宋_GBK"/>
          <w:color w:val="auto"/>
          <w:sz w:val="32"/>
          <w:szCs w:val="32"/>
          <w:shd w:val="clear" w:color="auto" w:fill="FFFFFF"/>
        </w:rPr>
        <w:t>万元，与2023年度相比，增加327.35万元，增长30.0%。较年初预算数增加228.56万元，增长19.2%</w:t>
      </w:r>
      <w:r>
        <w:rPr>
          <w:rFonts w:hint="eastAsia" w:ascii="方正仿宋_GBK" w:hAnsi="方正仿宋_GBK" w:eastAsia="方正仿宋_GBK" w:cs="方正仿宋_GBK"/>
          <w:color w:val="auto"/>
          <w:sz w:val="32"/>
          <w:szCs w:val="32"/>
          <w:shd w:val="clear" w:color="auto" w:fill="FFFFFF"/>
          <w:lang w:eastAsia="zh-CN"/>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2.37</w:t>
      </w:r>
      <w:r>
        <w:rPr>
          <w:rFonts w:ascii="方正仿宋_GBK" w:hAnsi="方正仿宋_GBK" w:eastAsia="方正仿宋_GBK" w:cs="方正仿宋_GBK"/>
          <w:color w:val="auto"/>
          <w:sz w:val="32"/>
          <w:szCs w:val="32"/>
          <w:shd w:val="clear" w:color="auto" w:fill="FFFFFF"/>
        </w:rPr>
        <w:t>万元，与2023年度相比，无增减。</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cyan"/>
          <w:shd w:val="clear" w:color="auto" w:fill="FFFFFF"/>
        </w:rPr>
      </w:pPr>
      <w:r>
        <w:rPr>
          <w:rStyle w:val="10"/>
          <w:rFonts w:ascii="方正仿宋_GBK" w:hAnsi="方正仿宋_GBK" w:eastAsia="方正仿宋_GBK" w:cs="方正仿宋_GBK"/>
          <w:color w:val="auto"/>
          <w:sz w:val="32"/>
          <w:szCs w:val="32"/>
          <w:shd w:val="clear" w:color="auto" w:fill="FFFFFF"/>
        </w:rPr>
        <w:t xml:space="preserve"> 4.比较情况。</w:t>
      </w: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val="en-US" w:eastAsia="zh-CN"/>
        </w:rPr>
        <w:t>和</w:t>
      </w:r>
      <w:r>
        <w:rPr>
          <w:rFonts w:ascii="方正仿宋_GBK" w:hAnsi="方正仿宋_GBK" w:eastAsia="方正仿宋_GBK" w:cs="方正仿宋_GBK"/>
          <w:color w:val="auto"/>
          <w:sz w:val="32"/>
          <w:szCs w:val="32"/>
          <w:shd w:val="clear" w:color="auto" w:fill="FFFFFF"/>
        </w:rPr>
        <w:t>就业支出</w:t>
      </w:r>
      <w:r>
        <w:rPr>
          <w:rFonts w:ascii="方正仿宋_GBK" w:hAnsi="方正仿宋_GBK" w:eastAsia="方正仿宋_GBK" w:cs="方正仿宋_GBK"/>
          <w:color w:val="auto"/>
          <w:sz w:val="32"/>
          <w:szCs w:val="32"/>
        </w:rPr>
        <w:t>278.30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19.59%</w:t>
      </w:r>
      <w:r>
        <w:rPr>
          <w:rFonts w:ascii="方正仿宋_GBK" w:hAnsi="方正仿宋_GBK" w:eastAsia="方正仿宋_GBK" w:cs="方正仿宋_GBK"/>
          <w:color w:val="auto"/>
          <w:sz w:val="32"/>
          <w:szCs w:val="32"/>
          <w:shd w:val="clear" w:color="auto" w:fill="FFFFFF"/>
        </w:rPr>
        <w:t>，较年初预算数增加45.04万元，增长19.3%</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原因为社保基数增加</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1101.83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77.57%</w:t>
      </w:r>
      <w:r>
        <w:rPr>
          <w:rFonts w:ascii="方正仿宋_GBK" w:hAnsi="方正仿宋_GBK" w:eastAsia="方正仿宋_GBK" w:cs="方正仿宋_GBK"/>
          <w:color w:val="auto"/>
          <w:sz w:val="32"/>
          <w:szCs w:val="32"/>
          <w:shd w:val="clear" w:color="auto" w:fill="FFFFFF"/>
        </w:rPr>
        <w:t>，较年初预算数增加181.82万元，增长19.8%</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今年发放以前年度绩效</w:t>
      </w:r>
      <w:r>
        <w:rPr>
          <w:rFonts w:ascii="方正仿宋_GBK" w:hAnsi="方正仿宋_GBK" w:eastAsia="方正仿宋_GBK" w:cs="方正仿宋_GBK"/>
          <w:color w:val="auto"/>
          <w:sz w:val="32"/>
          <w:szCs w:val="32"/>
          <w:shd w:val="clear" w:color="auto" w:fill="FFFFFF"/>
        </w:rPr>
        <w:t>。</w:t>
      </w:r>
    </w:p>
    <w:p>
      <w:pPr>
        <w:ind w:firstLine="640" w:firstLineChars="200"/>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val="en-US" w:eastAsia="zh-CN" w:bidi="ar-SA"/>
        </w:rPr>
        <w:t>（3）住房保障支出40.27万元，占2.84%，较年初预算数</w:t>
      </w:r>
      <w:r>
        <w:rPr>
          <w:rFonts w:ascii="方正仿宋_GBK" w:hAnsi="方正仿宋_GBK" w:eastAsia="方正仿宋_GBK" w:cs="方正仿宋_GBK"/>
          <w:color w:val="auto"/>
          <w:sz w:val="32"/>
          <w:szCs w:val="32"/>
          <w:shd w:val="clear" w:color="auto" w:fill="FFFFFF"/>
        </w:rPr>
        <w:t>增加1.70万元，增长4.4%</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工资调标住房公积金基数增加</w:t>
      </w:r>
      <w:r>
        <w:rPr>
          <w:rFonts w:ascii="方正仿宋_GBK" w:hAnsi="方正仿宋_GBK" w:eastAsia="方正仿宋_GBK" w:cs="方正仿宋_GBK"/>
          <w:color w:val="auto"/>
          <w:sz w:val="32"/>
          <w:szCs w:val="32"/>
          <w:shd w:val="clear" w:color="auto" w:fill="FFFFFF"/>
        </w:rPr>
        <w:t>。</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1228.69</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1228.69</w:t>
      </w:r>
      <w:r>
        <w:rPr>
          <w:rFonts w:ascii="方正仿宋_GBK" w:hAnsi="方正仿宋_GBK" w:eastAsia="方正仿宋_GBK" w:cs="方正仿宋_GBK"/>
          <w:color w:val="auto"/>
          <w:sz w:val="32"/>
          <w:szCs w:val="32"/>
          <w:shd w:val="clear" w:color="auto" w:fill="FFFFFF"/>
        </w:rPr>
        <w:t>万元，与2023年度相比，增加267.97万元，增长27.9%，公用经费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万元，与2023年度相比，减少1.8万元，下降100.0%。</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度政府性基金预算财政拨款年初结转结余</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万元，年末结转结余</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万元。本年收入</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万元，与2023年度相比，本年支出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万元，与2023年度相比，减少18.28万元，下降100.0%</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去年有专项债项目支出，列为基本建设类，今年无</w:t>
      </w:r>
      <w:r>
        <w:rPr>
          <w:rFonts w:ascii="方正仿宋_GBK" w:hAnsi="方正仿宋_GBK" w:eastAsia="方正仿宋_GBK" w:cs="方正仿宋_GBK"/>
          <w:color w:val="auto"/>
          <w:sz w:val="32"/>
          <w:szCs w:val="32"/>
          <w:shd w:val="clear" w:color="auto" w:fill="FFFFFF"/>
        </w:rPr>
        <w:t>。</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638" w:leftChars="266" w:firstLine="0" w:firstLineChars="0"/>
        <w:jc w:val="left"/>
        <w:textAlignment w:val="auto"/>
        <w:rPr>
          <w:rFonts w:hint="eastAsia" w:ascii="方正仿宋_GBK" w:eastAsia="方正仿宋_GBK"/>
          <w:color w:val="auto"/>
          <w:sz w:val="32"/>
          <w:szCs w:val="32"/>
          <w:highlight w:val="none"/>
        </w:rPr>
      </w:pPr>
      <w:r>
        <w:rPr>
          <w:rFonts w:hint="eastAsia" w:ascii="方正仿宋_GBK" w:eastAsia="方正仿宋_GBK"/>
          <w:color w:val="auto"/>
          <w:sz w:val="32"/>
          <w:szCs w:val="32"/>
          <w:highlight w:val="none"/>
        </w:rPr>
        <w:t>本</w:t>
      </w:r>
      <w:r>
        <w:rPr>
          <w:rFonts w:hint="eastAsia" w:ascii="方正仿宋_GBK" w:eastAsia="方正仿宋_GBK"/>
          <w:color w:val="auto"/>
          <w:sz w:val="32"/>
          <w:szCs w:val="32"/>
          <w:highlight w:val="none"/>
          <w:lang w:val="en-US" w:eastAsia="zh-CN"/>
        </w:rPr>
        <w:t>单位</w:t>
      </w:r>
      <w:r>
        <w:rPr>
          <w:rFonts w:hint="eastAsia" w:ascii="方正仿宋_GBK" w:eastAsia="方正仿宋_GBK"/>
          <w:color w:val="auto"/>
          <w:sz w:val="32"/>
          <w:szCs w:val="32"/>
          <w:highlight w:val="none"/>
          <w:lang w:eastAsia="zh-CN"/>
        </w:rPr>
        <w:t>202</w:t>
      </w:r>
      <w:r>
        <w:rPr>
          <w:rFonts w:hint="eastAsia" w:ascii="方正仿宋_GBK" w:eastAsia="方正仿宋_GBK"/>
          <w:color w:val="auto"/>
          <w:sz w:val="32"/>
          <w:szCs w:val="32"/>
          <w:highlight w:val="none"/>
          <w:lang w:val="en-US" w:eastAsia="zh-CN"/>
        </w:rPr>
        <w:t>4</w:t>
      </w:r>
      <w:r>
        <w:rPr>
          <w:rFonts w:hint="eastAsia" w:ascii="方正仿宋_GBK" w:eastAsia="方正仿宋_GBK"/>
          <w:color w:val="auto"/>
          <w:sz w:val="32"/>
          <w:szCs w:val="32"/>
          <w:highlight w:val="none"/>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638" w:leftChars="266" w:firstLine="0" w:firstLineChars="0"/>
        <w:jc w:val="left"/>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三、</w:t>
      </w:r>
      <w:r>
        <w:rPr>
          <w:rStyle w:val="10"/>
          <w:rFonts w:hint="eastAsia" w:ascii="黑体" w:hAnsi="黑体" w:eastAsia="黑体" w:cs="黑体"/>
          <w:color w:val="auto"/>
          <w:sz w:val="32"/>
          <w:szCs w:val="32"/>
          <w:shd w:val="clear" w:color="auto" w:fill="FFFFFF"/>
          <w:lang w:eastAsia="zh-CN"/>
        </w:rPr>
        <w:t>财政拨款</w:t>
      </w:r>
      <w:r>
        <w:rPr>
          <w:rStyle w:val="10"/>
          <w:rFonts w:ascii="黑体" w:hAnsi="黑体" w:eastAsia="黑体" w:cs="黑体"/>
          <w:color w:val="auto"/>
          <w:sz w:val="32"/>
          <w:szCs w:val="32"/>
          <w:shd w:val="clear" w:color="auto" w:fill="FFFFFF"/>
        </w:rPr>
        <w:t>“三公”经费情况说明</w:t>
      </w:r>
    </w:p>
    <w:p>
      <w:pPr>
        <w:pStyle w:val="11"/>
        <w:autoSpaceDE w:val="0"/>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pPr>
        <w:pStyle w:val="6"/>
        <w:spacing w:before="0" w:beforeAutospacing="0" w:after="0" w:afterAutospacing="0" w:line="594" w:lineRule="exact"/>
        <w:ind w:firstLine="640" w:firstLineChars="200"/>
        <w:rPr>
          <w:rFonts w:ascii="方正仿宋_GBK" w:eastAsia="方正仿宋_GBK"/>
          <w:color w:val="auto"/>
          <w:sz w:val="32"/>
          <w:szCs w:val="32"/>
          <w:highlight w:val="none"/>
        </w:rPr>
      </w:pPr>
      <w:r>
        <w:rPr>
          <w:rFonts w:hint="eastAsia" w:ascii="方正仿宋_GBK" w:eastAsia="方正仿宋_GBK"/>
          <w:color w:val="auto"/>
          <w:sz w:val="32"/>
          <w:szCs w:val="32"/>
          <w:highlight w:val="none"/>
          <w:lang w:eastAsia="zh-CN"/>
        </w:rPr>
        <w:t>202</w:t>
      </w:r>
      <w:r>
        <w:rPr>
          <w:rFonts w:hint="eastAsia" w:ascii="方正仿宋_GBK" w:eastAsia="方正仿宋_GBK"/>
          <w:color w:val="auto"/>
          <w:sz w:val="32"/>
          <w:szCs w:val="32"/>
          <w:highlight w:val="none"/>
          <w:lang w:val="en-US" w:eastAsia="zh-CN"/>
        </w:rPr>
        <w:t>4</w:t>
      </w:r>
      <w:r>
        <w:rPr>
          <w:rFonts w:hint="eastAsia" w:ascii="方正仿宋_GBK" w:eastAsia="方正仿宋_GBK"/>
          <w:color w:val="auto"/>
          <w:sz w:val="32"/>
          <w:szCs w:val="32"/>
          <w:highlight w:val="none"/>
        </w:rPr>
        <w:t>年度“三公”经费支出共计</w:t>
      </w:r>
      <w:r>
        <w:rPr>
          <w:rFonts w:hint="eastAsia" w:ascii="方正仿宋_GBK" w:eastAsia="方正仿宋_GBK"/>
          <w:color w:val="auto"/>
          <w:sz w:val="32"/>
          <w:szCs w:val="32"/>
          <w:highlight w:val="none"/>
          <w:lang w:val="en-US" w:eastAsia="zh-CN"/>
        </w:rPr>
        <w:t>0</w:t>
      </w:r>
      <w:r>
        <w:rPr>
          <w:rFonts w:hint="eastAsia" w:ascii="方正仿宋_GBK" w:eastAsia="方正仿宋_GBK"/>
          <w:color w:val="auto"/>
          <w:sz w:val="32"/>
          <w:szCs w:val="32"/>
          <w:highlight w:val="none"/>
        </w:rPr>
        <w:t>万元，较年初预算数增加（减少）</w:t>
      </w:r>
      <w:r>
        <w:rPr>
          <w:rFonts w:hint="eastAsia" w:ascii="方正仿宋_GBK" w:eastAsia="方正仿宋_GBK"/>
          <w:color w:val="auto"/>
          <w:sz w:val="32"/>
          <w:szCs w:val="32"/>
          <w:highlight w:val="none"/>
          <w:lang w:val="en-US" w:eastAsia="zh-CN"/>
        </w:rPr>
        <w:t>0</w:t>
      </w:r>
      <w:r>
        <w:rPr>
          <w:rFonts w:hint="eastAsia" w:ascii="方正仿宋_GBK" w:eastAsia="方正仿宋_GBK"/>
          <w:color w:val="auto"/>
          <w:sz w:val="32"/>
          <w:szCs w:val="32"/>
          <w:highlight w:val="none"/>
        </w:rPr>
        <w:t>万元，增长（下降）</w:t>
      </w:r>
      <w:r>
        <w:rPr>
          <w:rFonts w:hint="eastAsia" w:ascii="方正仿宋_GBK" w:eastAsia="方正仿宋_GBK"/>
          <w:color w:val="auto"/>
          <w:sz w:val="32"/>
          <w:szCs w:val="32"/>
          <w:highlight w:val="none"/>
          <w:lang w:val="en-US" w:eastAsia="zh-CN"/>
        </w:rPr>
        <w:t>0%</w:t>
      </w:r>
      <w:r>
        <w:rPr>
          <w:rFonts w:hint="eastAsia" w:ascii="方正仿宋_GBK" w:eastAsia="方正仿宋_GBK"/>
          <w:color w:val="auto"/>
          <w:sz w:val="32"/>
          <w:szCs w:val="32"/>
          <w:highlight w:val="none"/>
          <w:lang w:eastAsia="zh-CN"/>
        </w:rPr>
        <w:t>。</w:t>
      </w:r>
      <w:r>
        <w:rPr>
          <w:rFonts w:hint="eastAsia" w:ascii="方正仿宋_GBK" w:eastAsia="方正仿宋_GBK"/>
          <w:color w:val="auto"/>
          <w:sz w:val="32"/>
          <w:szCs w:val="32"/>
          <w:highlight w:val="none"/>
        </w:rPr>
        <w:t xml:space="preserve"> 较上年支出数减少</w:t>
      </w:r>
      <w:r>
        <w:rPr>
          <w:rFonts w:hint="eastAsia" w:ascii="方正仿宋_GBK" w:eastAsia="方正仿宋_GBK"/>
          <w:color w:val="auto"/>
          <w:sz w:val="32"/>
          <w:szCs w:val="32"/>
          <w:highlight w:val="none"/>
          <w:lang w:val="en-US" w:eastAsia="zh-CN"/>
        </w:rPr>
        <w:t>0</w:t>
      </w:r>
      <w:r>
        <w:rPr>
          <w:rFonts w:hint="eastAsia" w:ascii="方正仿宋_GBK" w:eastAsia="方正仿宋_GBK"/>
          <w:color w:val="auto"/>
          <w:sz w:val="32"/>
          <w:szCs w:val="32"/>
          <w:highlight w:val="none"/>
        </w:rPr>
        <w:t>万元，下降</w:t>
      </w:r>
      <w:r>
        <w:rPr>
          <w:rFonts w:hint="eastAsia" w:ascii="方正仿宋_GBK" w:eastAsia="方正仿宋_GBK"/>
          <w:color w:val="auto"/>
          <w:sz w:val="32"/>
          <w:szCs w:val="32"/>
          <w:highlight w:val="none"/>
          <w:lang w:val="en-US" w:eastAsia="zh-CN"/>
        </w:rPr>
        <w:t>0</w:t>
      </w:r>
      <w:r>
        <w:rPr>
          <w:rFonts w:hint="eastAsia" w:ascii="方正仿宋_GBK" w:eastAsia="方正仿宋_GBK"/>
          <w:color w:val="auto"/>
          <w:sz w:val="32"/>
          <w:szCs w:val="32"/>
          <w:highlight w:val="none"/>
        </w:rPr>
        <w:t>%，</w:t>
      </w:r>
      <w:r>
        <w:rPr>
          <w:rFonts w:hint="eastAsia" w:ascii="方正仿宋_GBK" w:eastAsia="方正仿宋_GBK"/>
          <w:color w:val="auto"/>
          <w:sz w:val="32"/>
          <w:szCs w:val="32"/>
          <w:highlight w:val="none"/>
          <w:lang w:eastAsia="zh-CN"/>
        </w:rPr>
        <w:t>上年</w:t>
      </w:r>
      <w:r>
        <w:rPr>
          <w:rFonts w:hint="eastAsia" w:ascii="方正仿宋_GBK" w:eastAsia="方正仿宋_GBK"/>
          <w:color w:val="auto"/>
          <w:sz w:val="32"/>
          <w:szCs w:val="32"/>
          <w:highlight w:val="none"/>
          <w:lang w:val="en-US" w:eastAsia="zh-CN"/>
        </w:rPr>
        <w:t>无</w:t>
      </w:r>
      <w:r>
        <w:rPr>
          <w:rFonts w:hint="eastAsia" w:ascii="方正仿宋_GBK" w:eastAsia="方正仿宋_GBK"/>
          <w:color w:val="auto"/>
          <w:sz w:val="32"/>
          <w:szCs w:val="32"/>
          <w:highlight w:val="none"/>
          <w:lang w:eastAsia="zh-CN"/>
        </w:rPr>
        <w:t>公务用车及运行维护费，今年无</w:t>
      </w:r>
      <w:r>
        <w:rPr>
          <w:rFonts w:hint="eastAsia" w:ascii="方正仿宋_GBK" w:eastAsia="方正仿宋_GBK"/>
          <w:color w:val="auto"/>
          <w:sz w:val="32"/>
          <w:szCs w:val="32"/>
          <w:highlight w:val="none"/>
        </w:rPr>
        <w:t>。</w:t>
      </w:r>
    </w:p>
    <w:p>
      <w:pPr>
        <w:pStyle w:val="11"/>
        <w:autoSpaceDE w:val="0"/>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lang w:eastAsia="zh-CN"/>
        </w:rPr>
        <w:t>（</w:t>
      </w:r>
      <w:r>
        <w:rPr>
          <w:rFonts w:hint="eastAsia" w:ascii="楷体" w:hAnsi="楷体" w:eastAsia="楷体" w:cs="楷体"/>
          <w:b/>
          <w:bCs/>
          <w:color w:val="auto"/>
          <w:sz w:val="32"/>
          <w:szCs w:val="32"/>
          <w:shd w:val="clear" w:color="auto" w:fill="FFFFFF"/>
          <w:lang w:val="en-US" w:eastAsia="zh-CN"/>
        </w:rPr>
        <w:t>二）</w:t>
      </w:r>
      <w:r>
        <w:rPr>
          <w:rFonts w:hint="eastAsia" w:ascii="楷体" w:hAnsi="楷体" w:eastAsia="楷体" w:cs="楷体"/>
          <w:b/>
          <w:bCs/>
          <w:color w:val="auto"/>
          <w:sz w:val="32"/>
          <w:szCs w:val="32"/>
          <w:shd w:val="clear" w:color="auto" w:fill="FFFFFF"/>
        </w:rPr>
        <w:t>“三公”经费分项支出情况</w:t>
      </w:r>
    </w:p>
    <w:p>
      <w:pPr>
        <w:pStyle w:val="6"/>
        <w:numPr>
          <w:ilvl w:val="0"/>
          <w:numId w:val="0"/>
        </w:numPr>
        <w:spacing w:before="0" w:beforeAutospacing="0" w:after="0" w:afterAutospacing="0" w:line="594" w:lineRule="exact"/>
        <w:ind w:firstLine="640" w:firstLineChars="200"/>
        <w:rPr>
          <w:rStyle w:val="10"/>
          <w:rFonts w:hint="eastAsia" w:ascii="方正楷体_GBK" w:eastAsia="方正仿宋_GBK"/>
          <w:b w:val="0"/>
          <w:color w:val="auto"/>
          <w:sz w:val="32"/>
          <w:szCs w:val="32"/>
          <w:highlight w:val="none"/>
          <w:lang w:eastAsia="zh-CN"/>
        </w:rPr>
      </w:pPr>
      <w:r>
        <w:rPr>
          <w:rFonts w:hint="eastAsia" w:ascii="方正仿宋_GBK" w:eastAsia="方正仿宋_GBK"/>
          <w:color w:val="auto"/>
          <w:sz w:val="32"/>
          <w:szCs w:val="32"/>
          <w:highlight w:val="none"/>
          <w:lang w:eastAsia="zh-CN"/>
        </w:rPr>
        <w:t>202</w:t>
      </w:r>
      <w:r>
        <w:rPr>
          <w:rFonts w:hint="eastAsia" w:ascii="方正仿宋_GBK" w:eastAsia="方正仿宋_GBK"/>
          <w:color w:val="auto"/>
          <w:sz w:val="32"/>
          <w:szCs w:val="32"/>
          <w:highlight w:val="none"/>
          <w:lang w:val="en-US" w:eastAsia="zh-CN"/>
        </w:rPr>
        <w:t>4</w:t>
      </w:r>
      <w:r>
        <w:rPr>
          <w:rFonts w:hint="eastAsia" w:ascii="方正仿宋_GBK" w:eastAsia="方正仿宋_GBK"/>
          <w:color w:val="auto"/>
          <w:sz w:val="32"/>
          <w:szCs w:val="32"/>
          <w:highlight w:val="none"/>
        </w:rPr>
        <w:t>年度本</w:t>
      </w:r>
      <w:r>
        <w:rPr>
          <w:rFonts w:hint="eastAsia" w:ascii="方正仿宋_GBK" w:eastAsia="方正仿宋_GBK"/>
          <w:color w:val="auto"/>
          <w:sz w:val="32"/>
          <w:szCs w:val="32"/>
          <w:highlight w:val="none"/>
          <w:lang w:eastAsia="zh-CN"/>
        </w:rPr>
        <w:t>单位</w:t>
      </w:r>
      <w:r>
        <w:rPr>
          <w:rFonts w:hint="eastAsia" w:ascii="方正仿宋_GBK" w:eastAsia="方正仿宋_GBK"/>
          <w:color w:val="auto"/>
          <w:sz w:val="32"/>
          <w:szCs w:val="32"/>
          <w:highlight w:val="none"/>
        </w:rPr>
        <w:t>因公出国（境）费用</w:t>
      </w:r>
      <w:r>
        <w:rPr>
          <w:rFonts w:hint="eastAsia" w:ascii="方正仿宋_GBK" w:eastAsia="方正仿宋_GBK"/>
          <w:color w:val="auto"/>
          <w:sz w:val="32"/>
          <w:szCs w:val="32"/>
          <w:highlight w:val="none"/>
          <w:lang w:val="en-US" w:eastAsia="zh-CN"/>
        </w:rPr>
        <w:t>0</w:t>
      </w:r>
      <w:r>
        <w:rPr>
          <w:rFonts w:hint="eastAsia" w:ascii="方正仿宋_GBK" w:eastAsia="方正仿宋_GBK"/>
          <w:color w:val="auto"/>
          <w:sz w:val="32"/>
          <w:szCs w:val="32"/>
          <w:highlight w:val="none"/>
        </w:rPr>
        <w:t>万元</w:t>
      </w:r>
      <w:r>
        <w:rPr>
          <w:rFonts w:hint="eastAsia" w:ascii="方正仿宋_GBK" w:eastAsia="方正仿宋_GBK"/>
          <w:color w:val="auto"/>
          <w:sz w:val="32"/>
          <w:szCs w:val="32"/>
          <w:highlight w:val="none"/>
          <w:lang w:eastAsia="zh-CN"/>
        </w:rPr>
        <w:t>。</w:t>
      </w:r>
    </w:p>
    <w:p>
      <w:pPr>
        <w:pStyle w:val="6"/>
        <w:spacing w:before="0" w:beforeAutospacing="0" w:after="0" w:afterAutospacing="0" w:line="594" w:lineRule="exact"/>
        <w:ind w:firstLine="640" w:firstLineChars="200"/>
        <w:rPr>
          <w:rFonts w:hint="eastAsia" w:ascii="方正仿宋_GBK" w:eastAsia="方正仿宋_GBK"/>
          <w:color w:val="auto"/>
          <w:sz w:val="32"/>
          <w:szCs w:val="32"/>
          <w:highlight w:val="none"/>
        </w:rPr>
      </w:pPr>
      <w:r>
        <w:rPr>
          <w:rFonts w:hint="eastAsia" w:ascii="方正仿宋_GBK" w:eastAsia="方正仿宋_GBK"/>
          <w:color w:val="auto"/>
          <w:sz w:val="32"/>
          <w:szCs w:val="32"/>
          <w:highlight w:val="none"/>
          <w:lang w:eastAsia="zh-CN"/>
        </w:rPr>
        <w:t>202</w:t>
      </w:r>
      <w:r>
        <w:rPr>
          <w:rFonts w:hint="eastAsia" w:ascii="方正仿宋_GBK" w:eastAsia="方正仿宋_GBK"/>
          <w:color w:val="auto"/>
          <w:sz w:val="32"/>
          <w:szCs w:val="32"/>
          <w:highlight w:val="none"/>
          <w:lang w:val="en-US" w:eastAsia="zh-CN"/>
        </w:rPr>
        <w:t>4</w:t>
      </w:r>
      <w:r>
        <w:rPr>
          <w:rFonts w:hint="eastAsia" w:ascii="方正仿宋_GBK" w:eastAsia="方正仿宋_GBK"/>
          <w:color w:val="auto"/>
          <w:sz w:val="32"/>
          <w:szCs w:val="32"/>
          <w:highlight w:val="none"/>
        </w:rPr>
        <w:t>年度</w:t>
      </w:r>
      <w:r>
        <w:rPr>
          <w:rFonts w:hint="eastAsia" w:ascii="方正仿宋_GBK" w:eastAsia="方正仿宋_GBK"/>
          <w:color w:val="auto"/>
          <w:sz w:val="32"/>
          <w:szCs w:val="32"/>
          <w:highlight w:val="none"/>
          <w:lang w:eastAsia="zh-CN"/>
        </w:rPr>
        <w:t>无</w:t>
      </w:r>
      <w:r>
        <w:rPr>
          <w:rFonts w:hint="eastAsia" w:ascii="方正仿宋_GBK" w:eastAsia="方正仿宋_GBK"/>
          <w:color w:val="auto"/>
          <w:sz w:val="32"/>
          <w:szCs w:val="32"/>
          <w:highlight w:val="none"/>
        </w:rPr>
        <w:t>公务</w:t>
      </w:r>
      <w:r>
        <w:rPr>
          <w:rFonts w:hint="eastAsia" w:ascii="方正仿宋_GBK" w:eastAsia="方正仿宋_GBK"/>
          <w:color w:val="auto"/>
          <w:sz w:val="32"/>
          <w:szCs w:val="32"/>
          <w:highlight w:val="none"/>
          <w:lang w:val="en-US" w:eastAsia="zh-CN"/>
        </w:rPr>
        <w:t>用</w:t>
      </w:r>
      <w:r>
        <w:rPr>
          <w:rFonts w:hint="eastAsia" w:ascii="方正仿宋_GBK" w:eastAsia="方正仿宋_GBK"/>
          <w:color w:val="auto"/>
          <w:sz w:val="32"/>
          <w:szCs w:val="32"/>
          <w:highlight w:val="none"/>
        </w:rPr>
        <w:t>车购置费。</w:t>
      </w:r>
    </w:p>
    <w:p>
      <w:pPr>
        <w:pStyle w:val="6"/>
        <w:spacing w:before="0" w:beforeAutospacing="0" w:after="0" w:afterAutospacing="0" w:line="594" w:lineRule="exact"/>
        <w:ind w:firstLine="640" w:firstLineChars="200"/>
        <w:rPr>
          <w:rFonts w:hint="eastAsia" w:ascii="方正仿宋_GBK" w:eastAsia="方正仿宋_GBK"/>
          <w:color w:val="auto"/>
          <w:sz w:val="32"/>
          <w:szCs w:val="32"/>
          <w:highlight w:val="none"/>
        </w:rPr>
      </w:pPr>
      <w:r>
        <w:rPr>
          <w:rFonts w:hint="eastAsia" w:ascii="方正仿宋_GBK" w:eastAsia="方正仿宋_GBK"/>
          <w:color w:val="auto"/>
          <w:sz w:val="32"/>
          <w:szCs w:val="32"/>
          <w:highlight w:val="none"/>
          <w:lang w:val="en-US" w:eastAsia="zh-CN"/>
        </w:rPr>
        <w:t>2024年无</w:t>
      </w:r>
      <w:r>
        <w:rPr>
          <w:rFonts w:hint="eastAsia" w:ascii="方正仿宋_GBK" w:eastAsia="方正仿宋_GBK"/>
          <w:color w:val="auto"/>
          <w:sz w:val="32"/>
          <w:szCs w:val="32"/>
          <w:highlight w:val="none"/>
        </w:rPr>
        <w:t>公务</w:t>
      </w:r>
      <w:r>
        <w:rPr>
          <w:rFonts w:hint="eastAsia" w:ascii="方正仿宋_GBK" w:eastAsia="方正仿宋_GBK"/>
          <w:color w:val="auto"/>
          <w:sz w:val="32"/>
          <w:szCs w:val="32"/>
          <w:highlight w:val="none"/>
          <w:lang w:val="en-US" w:eastAsia="zh-CN"/>
        </w:rPr>
        <w:t>用</w:t>
      </w:r>
      <w:r>
        <w:rPr>
          <w:rFonts w:hint="eastAsia" w:ascii="方正仿宋_GBK" w:eastAsia="方正仿宋_GBK"/>
          <w:color w:val="auto"/>
          <w:sz w:val="32"/>
          <w:szCs w:val="32"/>
          <w:highlight w:val="none"/>
        </w:rPr>
        <w:t>车运行维护费，年初</w:t>
      </w:r>
      <w:r>
        <w:rPr>
          <w:rFonts w:hint="eastAsia" w:ascii="方正仿宋_GBK" w:eastAsia="方正仿宋_GBK"/>
          <w:color w:val="auto"/>
          <w:sz w:val="32"/>
          <w:szCs w:val="32"/>
          <w:highlight w:val="none"/>
          <w:lang w:eastAsia="zh-CN"/>
        </w:rPr>
        <w:t>无</w:t>
      </w:r>
      <w:r>
        <w:rPr>
          <w:rFonts w:hint="eastAsia" w:ascii="方正仿宋_GBK" w:eastAsia="方正仿宋_GBK"/>
          <w:color w:val="auto"/>
          <w:sz w:val="32"/>
          <w:szCs w:val="32"/>
          <w:highlight w:val="none"/>
        </w:rPr>
        <w:t>预算数。较上年支出数减少</w:t>
      </w:r>
      <w:r>
        <w:rPr>
          <w:rFonts w:hint="eastAsia" w:ascii="方正仿宋_GBK" w:eastAsia="方正仿宋_GBK"/>
          <w:color w:val="auto"/>
          <w:sz w:val="32"/>
          <w:szCs w:val="32"/>
          <w:highlight w:val="none"/>
          <w:lang w:val="en-US" w:eastAsia="zh-CN"/>
        </w:rPr>
        <w:t>0</w:t>
      </w:r>
      <w:r>
        <w:rPr>
          <w:rFonts w:hint="eastAsia" w:ascii="方正仿宋_GBK" w:eastAsia="方正仿宋_GBK"/>
          <w:color w:val="auto"/>
          <w:sz w:val="32"/>
          <w:szCs w:val="32"/>
          <w:highlight w:val="none"/>
        </w:rPr>
        <w:t>万元，下降</w:t>
      </w:r>
      <w:r>
        <w:rPr>
          <w:rFonts w:hint="eastAsia" w:ascii="方正仿宋_GBK" w:eastAsia="方正仿宋_GBK"/>
          <w:color w:val="auto"/>
          <w:sz w:val="32"/>
          <w:szCs w:val="32"/>
          <w:highlight w:val="none"/>
          <w:lang w:val="en-US" w:eastAsia="zh-CN"/>
        </w:rPr>
        <w:t>0</w:t>
      </w:r>
      <w:r>
        <w:rPr>
          <w:rFonts w:hint="eastAsia" w:ascii="方正仿宋_GBK" w:eastAsia="方正仿宋_GBK"/>
          <w:color w:val="auto"/>
          <w:sz w:val="32"/>
          <w:szCs w:val="32"/>
          <w:highlight w:val="none"/>
        </w:rPr>
        <w:t xml:space="preserve"> %，</w:t>
      </w:r>
      <w:r>
        <w:rPr>
          <w:rFonts w:hint="eastAsia" w:ascii="方正仿宋_GBK" w:eastAsia="方正仿宋_GBK"/>
          <w:color w:val="auto"/>
          <w:sz w:val="32"/>
          <w:szCs w:val="32"/>
          <w:highlight w:val="none"/>
          <w:lang w:eastAsia="zh-CN"/>
        </w:rPr>
        <w:t>上年</w:t>
      </w:r>
      <w:r>
        <w:rPr>
          <w:rFonts w:hint="eastAsia" w:ascii="方正仿宋_GBK" w:eastAsia="方正仿宋_GBK"/>
          <w:color w:val="auto"/>
          <w:sz w:val="32"/>
          <w:szCs w:val="32"/>
          <w:highlight w:val="none"/>
          <w:lang w:val="en-US" w:eastAsia="zh-CN"/>
        </w:rPr>
        <w:t>无</w:t>
      </w:r>
      <w:r>
        <w:rPr>
          <w:rFonts w:hint="eastAsia" w:ascii="方正仿宋_GBK" w:eastAsia="方正仿宋_GBK"/>
          <w:color w:val="auto"/>
          <w:sz w:val="32"/>
          <w:szCs w:val="32"/>
          <w:highlight w:val="none"/>
          <w:lang w:eastAsia="zh-CN"/>
        </w:rPr>
        <w:t>公务用车运行维护费，今年无</w:t>
      </w:r>
      <w:r>
        <w:rPr>
          <w:rFonts w:hint="eastAsia" w:ascii="方正仿宋_GBK" w:eastAsia="方正仿宋_GBK"/>
          <w:color w:val="auto"/>
          <w:sz w:val="32"/>
          <w:szCs w:val="32"/>
          <w:highlight w:val="none"/>
        </w:rPr>
        <w:t>。</w:t>
      </w:r>
    </w:p>
    <w:p>
      <w:pPr>
        <w:pStyle w:val="6"/>
        <w:spacing w:before="0" w:beforeAutospacing="0" w:after="0" w:afterAutospacing="0" w:line="594" w:lineRule="exact"/>
        <w:ind w:firstLine="640" w:firstLineChars="200"/>
        <w:rPr>
          <w:rFonts w:hint="eastAsia" w:ascii="方正仿宋_GBK" w:eastAsia="方正仿宋_GBK"/>
          <w:color w:val="auto"/>
          <w:sz w:val="32"/>
          <w:szCs w:val="32"/>
          <w:highlight w:val="none"/>
        </w:rPr>
      </w:pPr>
      <w:r>
        <w:rPr>
          <w:rFonts w:hint="eastAsia" w:ascii="方正仿宋_GBK" w:eastAsia="方正仿宋_GBK"/>
          <w:color w:val="auto"/>
          <w:sz w:val="32"/>
          <w:szCs w:val="32"/>
          <w:highlight w:val="none"/>
          <w:lang w:val="en-US" w:eastAsia="zh-CN"/>
        </w:rPr>
        <w:t>2024年</w:t>
      </w:r>
      <w:r>
        <w:rPr>
          <w:rFonts w:hint="eastAsia" w:ascii="方正仿宋_GBK" w:eastAsia="方正仿宋_GBK"/>
          <w:color w:val="auto"/>
          <w:sz w:val="32"/>
          <w:szCs w:val="32"/>
          <w:highlight w:val="none"/>
        </w:rPr>
        <w:t>公务接待费</w:t>
      </w:r>
      <w:r>
        <w:rPr>
          <w:rFonts w:hint="eastAsia" w:ascii="方正仿宋_GBK" w:eastAsia="方正仿宋_GBK"/>
          <w:color w:val="auto"/>
          <w:sz w:val="32"/>
          <w:szCs w:val="32"/>
          <w:highlight w:val="none"/>
          <w:lang w:val="en-US" w:eastAsia="zh-CN"/>
        </w:rPr>
        <w:t>0</w:t>
      </w:r>
      <w:r>
        <w:rPr>
          <w:rFonts w:hint="eastAsia" w:ascii="方正仿宋_GBK" w:eastAsia="方正仿宋_GBK"/>
          <w:color w:val="auto"/>
          <w:sz w:val="32"/>
          <w:szCs w:val="32"/>
          <w:highlight w:val="none"/>
        </w:rPr>
        <w:t>万元。</w:t>
      </w:r>
    </w:p>
    <w:p>
      <w:pPr>
        <w:pStyle w:val="6"/>
        <w:spacing w:before="0" w:beforeAutospacing="0" w:after="0" w:afterAutospacing="0" w:line="594" w:lineRule="exact"/>
        <w:ind w:firstLine="643" w:firstLineChars="200"/>
        <w:rPr>
          <w:rFonts w:hint="eastAsia" w:ascii="楷体" w:hAnsi="楷体" w:eastAsia="楷体" w:cs="楷体"/>
          <w:b/>
          <w:bCs/>
          <w:color w:val="auto"/>
          <w:sz w:val="32"/>
          <w:szCs w:val="32"/>
          <w:shd w:val="clear" w:color="auto" w:fill="FFFFFF"/>
          <w:lang w:val="en-US" w:eastAsia="zh-CN" w:bidi="ar-SA"/>
        </w:rPr>
      </w:pPr>
      <w:r>
        <w:rPr>
          <w:rFonts w:hint="eastAsia" w:ascii="楷体" w:hAnsi="楷体" w:eastAsia="楷体" w:cs="楷体"/>
          <w:b/>
          <w:bCs/>
          <w:color w:val="auto"/>
          <w:sz w:val="32"/>
          <w:szCs w:val="32"/>
          <w:shd w:val="clear" w:color="auto" w:fill="FFFFFF"/>
          <w:lang w:val="en-US" w:eastAsia="zh-CN" w:bidi="ar-SA"/>
        </w:rPr>
        <w:t>（三）“三公”经费实物量情况</w:t>
      </w:r>
    </w:p>
    <w:p>
      <w:pPr>
        <w:pStyle w:val="6"/>
        <w:spacing w:before="0" w:beforeAutospacing="0" w:after="0" w:afterAutospacing="0" w:line="594" w:lineRule="exact"/>
        <w:ind w:firstLine="640" w:firstLineChars="200"/>
        <w:rPr>
          <w:rFonts w:hint="eastAsia"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度本单位因公出国（境）共计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w:t>
      </w:r>
      <w:r>
        <w:rPr>
          <w:rFonts w:hint="eastAsia" w:ascii="方正仿宋_GBK" w:hAnsi="方正仿宋_GBK" w:eastAsia="方正仿宋_GBK" w:cs="方正仿宋_GBK"/>
          <w:color w:val="auto"/>
          <w:sz w:val="32"/>
          <w:szCs w:val="32"/>
          <w:shd w:val="clear" w:color="auto" w:fill="FFFFFF"/>
          <w:lang w:val="en-US" w:eastAsia="zh-CN"/>
        </w:rPr>
        <w:t>用</w:t>
      </w:r>
      <w:r>
        <w:rPr>
          <w:rFonts w:ascii="方正仿宋_GBK" w:hAnsi="方正仿宋_GBK" w:eastAsia="方正仿宋_GBK" w:cs="方正仿宋_GBK"/>
          <w:color w:val="auto"/>
          <w:sz w:val="32"/>
          <w:szCs w:val="32"/>
          <w:shd w:val="clear" w:color="auto" w:fill="FFFFFF"/>
        </w:rPr>
        <w:t>车保有量为</w:t>
      </w:r>
      <w:r>
        <w:rPr>
          <w:rFonts w:hint="eastAsia" w:ascii="方正仿宋_GBK" w:hAnsi="方正仿宋_GBK" w:eastAsia="方正仿宋_GBK" w:cs="方正仿宋_GBK"/>
          <w:color w:val="auto"/>
          <w:sz w:val="32"/>
          <w:szCs w:val="32"/>
          <w:lang w:val="en-US" w:eastAsia="zh-CN"/>
        </w:rPr>
        <w:t>1</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本单位人均接待费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600" w:lineRule="exact"/>
        <w:ind w:firstLine="640" w:firstLineChars="200"/>
        <w:jc w:val="both"/>
        <w:rPr>
          <w:rStyle w:val="10"/>
          <w:rFonts w:hint="default" w:ascii="黑体" w:hAnsi="黑体" w:eastAsia="黑体" w:cs="黑体"/>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w:t>
      </w:r>
      <w:r>
        <w:rPr>
          <w:rStyle w:val="10"/>
          <w:rFonts w:ascii="黑体" w:hAnsi="黑体" w:eastAsia="黑体" w:cs="黑体"/>
          <w:color w:val="auto"/>
          <w:sz w:val="32"/>
          <w:szCs w:val="32"/>
          <w:shd w:val="clear" w:color="auto" w:fill="FFFFFF"/>
        </w:rPr>
        <w:t>四、其他需要说明的事项</w:t>
      </w:r>
    </w:p>
    <w:p>
      <w:pPr>
        <w:spacing w:line="594" w:lineRule="exact"/>
        <w:ind w:firstLine="643" w:firstLineChars="200"/>
        <w:rPr>
          <w:rFonts w:hint="eastAsia" w:ascii="楷体" w:hAnsi="楷体" w:eastAsia="楷体" w:cs="楷体"/>
          <w:b/>
          <w:bCs/>
          <w:color w:val="auto"/>
          <w:sz w:val="32"/>
          <w:szCs w:val="32"/>
          <w:shd w:val="clear" w:color="auto" w:fill="FFFFFF"/>
          <w:lang w:val="en-US" w:eastAsia="zh-CN" w:bidi="ar-SA"/>
        </w:rPr>
      </w:pPr>
      <w:r>
        <w:rPr>
          <w:rFonts w:hint="eastAsia" w:ascii="楷体" w:hAnsi="楷体" w:eastAsia="楷体" w:cs="楷体"/>
          <w:b/>
          <w:bCs/>
          <w:color w:val="auto"/>
          <w:sz w:val="32"/>
          <w:szCs w:val="32"/>
          <w:shd w:val="clear" w:color="auto" w:fill="FFFFFF"/>
          <w:lang w:val="en-US" w:eastAsia="zh-CN" w:bidi="ar-SA"/>
        </w:rPr>
        <w:t>（一）机关运行经费情况说明</w:t>
      </w:r>
    </w:p>
    <w:p>
      <w:pPr>
        <w:spacing w:line="594" w:lineRule="exact"/>
        <w:ind w:firstLine="640" w:firstLineChars="200"/>
        <w:rPr>
          <w:rFonts w:ascii="Times New Roman" w:hAnsi="Times New Roman" w:eastAsia="方正仿宋_GBK" w:cs="宋体"/>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按照</w:t>
      </w:r>
      <w:r>
        <w:rPr>
          <w:rFonts w:hint="eastAsia" w:ascii="方正仿宋_GBK" w:hAnsi="方正仿宋_GBK" w:eastAsia="方正仿宋_GBK" w:cs="方正仿宋_GBK"/>
          <w:color w:val="auto"/>
          <w:kern w:val="0"/>
          <w:sz w:val="32"/>
          <w:szCs w:val="32"/>
          <w:highlight w:val="none"/>
          <w:lang w:eastAsia="zh-CN"/>
        </w:rPr>
        <w:t>单位</w:t>
      </w:r>
      <w:r>
        <w:rPr>
          <w:rFonts w:hint="eastAsia" w:ascii="方正仿宋_GBK" w:hAnsi="方正仿宋_GBK" w:eastAsia="方正仿宋_GBK" w:cs="方正仿宋_GBK"/>
          <w:color w:val="auto"/>
          <w:kern w:val="0"/>
          <w:sz w:val="32"/>
          <w:szCs w:val="32"/>
          <w:highlight w:val="none"/>
        </w:rPr>
        <w:t>决算列报口径，</w:t>
      </w:r>
      <w:r>
        <w:rPr>
          <w:rFonts w:ascii="Times New Roman" w:hAnsi="Times New Roman" w:eastAsia="方正仿宋_GBK" w:cs="宋体"/>
          <w:color w:val="auto"/>
          <w:kern w:val="0"/>
          <w:sz w:val="32"/>
          <w:szCs w:val="32"/>
          <w:highlight w:val="none"/>
        </w:rPr>
        <w:t>我单位不在机关运行经费统计范围之内。</w:t>
      </w:r>
    </w:p>
    <w:p>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w:t>
      </w:r>
      <w:r>
        <w:rPr>
          <w:rFonts w:hint="eastAsia" w:ascii="楷体" w:hAnsi="楷体" w:eastAsia="楷体" w:cs="楷体"/>
          <w:b/>
          <w:bCs/>
          <w:color w:val="auto"/>
          <w:sz w:val="32"/>
          <w:szCs w:val="32"/>
          <w:shd w:val="clear" w:color="auto" w:fill="FFFFFF"/>
          <w:lang w:val="en-US" w:eastAsia="zh-CN"/>
        </w:rPr>
        <w:t>二</w:t>
      </w:r>
      <w:r>
        <w:rPr>
          <w:rFonts w:hint="eastAsia" w:ascii="楷体" w:hAnsi="楷体" w:eastAsia="楷体" w:cs="楷体"/>
          <w:b/>
          <w:bCs/>
          <w:color w:val="auto"/>
          <w:sz w:val="32"/>
          <w:szCs w:val="32"/>
          <w:shd w:val="clear" w:color="auto" w:fill="FFFFFF"/>
        </w:rPr>
        <w:t>）国有资产占用情况说明</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94" w:lineRule="atLeast"/>
        <w:ind w:left="0" w:leftChars="0" w:right="0" w:rightChars="0" w:firstLine="640" w:firstLineChars="200"/>
        <w:textAlignment w:val="auto"/>
        <w:outlineLvl w:val="9"/>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截至</w:t>
      </w:r>
      <w:r>
        <w:rPr>
          <w:rFonts w:hint="eastAsia" w:ascii="方正仿宋_GBK" w:hAnsi="方正仿宋_GBK" w:eastAsia="方正仿宋_GBK" w:cs="方正仿宋_GBK"/>
          <w:color w:val="auto"/>
          <w:kern w:val="0"/>
          <w:sz w:val="32"/>
          <w:szCs w:val="32"/>
          <w:lang w:eastAsia="zh-CN"/>
        </w:rPr>
        <w:t>202</w:t>
      </w:r>
      <w:r>
        <w:rPr>
          <w:rFonts w:hint="eastAsia" w:ascii="方正仿宋_GBK" w:hAnsi="方正仿宋_GBK" w:eastAsia="方正仿宋_GBK" w:cs="方正仿宋_GBK"/>
          <w:color w:val="auto"/>
          <w:kern w:val="0"/>
          <w:sz w:val="32"/>
          <w:szCs w:val="32"/>
          <w:lang w:val="en-US" w:eastAsia="zh-CN"/>
        </w:rPr>
        <w:t>4</w:t>
      </w:r>
      <w:r>
        <w:rPr>
          <w:rFonts w:hint="eastAsia" w:ascii="方正仿宋_GBK" w:hAnsi="方正仿宋_GBK" w:eastAsia="方正仿宋_GBK" w:cs="方正仿宋_GBK"/>
          <w:color w:val="auto"/>
          <w:kern w:val="0"/>
          <w:sz w:val="32"/>
          <w:szCs w:val="32"/>
        </w:rPr>
        <w:t>年12月31日，本</w:t>
      </w:r>
      <w:r>
        <w:rPr>
          <w:rFonts w:hint="eastAsia" w:ascii="方正仿宋_GBK" w:hAnsi="方正仿宋_GBK" w:eastAsia="方正仿宋_GBK" w:cs="方正仿宋_GBK"/>
          <w:color w:val="auto"/>
          <w:kern w:val="0"/>
          <w:sz w:val="32"/>
          <w:szCs w:val="32"/>
          <w:lang w:eastAsia="zh-CN"/>
        </w:rPr>
        <w:t>单位</w:t>
      </w:r>
      <w:r>
        <w:rPr>
          <w:rFonts w:hint="eastAsia" w:ascii="方正仿宋_GBK" w:hAnsi="方正仿宋_GBK" w:eastAsia="方正仿宋_GBK" w:cs="方正仿宋_GBK"/>
          <w:color w:val="auto"/>
          <w:kern w:val="0"/>
          <w:sz w:val="32"/>
          <w:szCs w:val="32"/>
        </w:rPr>
        <w:t>共有车辆</w:t>
      </w:r>
      <w:r>
        <w:rPr>
          <w:rFonts w:hint="eastAsia" w:ascii="方正仿宋_GBK" w:hAnsi="方正仿宋_GBK" w:eastAsia="方正仿宋_GBK" w:cs="方正仿宋_GBK"/>
          <w:color w:val="auto"/>
          <w:kern w:val="0"/>
          <w:sz w:val="32"/>
          <w:szCs w:val="32"/>
          <w:lang w:val="en-US" w:eastAsia="zh-CN"/>
        </w:rPr>
        <w:t>1</w:t>
      </w:r>
      <w:r>
        <w:rPr>
          <w:rFonts w:hint="eastAsia" w:ascii="方正仿宋_GBK" w:hAnsi="方正仿宋_GBK" w:eastAsia="方正仿宋_GBK" w:cs="方正仿宋_GBK"/>
          <w:color w:val="auto"/>
          <w:kern w:val="0"/>
          <w:sz w:val="32"/>
          <w:szCs w:val="32"/>
        </w:rPr>
        <w:t>辆。其中特种专业技术用车</w:t>
      </w:r>
      <w:r>
        <w:rPr>
          <w:rFonts w:hint="eastAsia" w:ascii="方正仿宋_GBK" w:hAnsi="方正仿宋_GBK" w:eastAsia="方正仿宋_GBK" w:cs="方正仿宋_GBK"/>
          <w:color w:val="auto"/>
          <w:kern w:val="0"/>
          <w:sz w:val="32"/>
          <w:szCs w:val="32"/>
          <w:lang w:val="en-US" w:eastAsia="zh-CN"/>
        </w:rPr>
        <w:t>1</w:t>
      </w:r>
      <w:r>
        <w:rPr>
          <w:rFonts w:hint="eastAsia" w:ascii="方正仿宋_GBK" w:hAnsi="方正仿宋_GBK" w:eastAsia="方正仿宋_GBK" w:cs="方正仿宋_GBK"/>
          <w:color w:val="auto"/>
          <w:kern w:val="0"/>
          <w:sz w:val="32"/>
          <w:szCs w:val="32"/>
        </w:rPr>
        <w:t>辆。单价50万元（含）以上通用设备</w:t>
      </w:r>
      <w:r>
        <w:rPr>
          <w:rFonts w:hint="eastAsia" w:ascii="方正仿宋_GBK" w:hAnsi="方正仿宋_GBK" w:eastAsia="方正仿宋_GBK" w:cs="方正仿宋_GBK"/>
          <w:color w:val="auto"/>
          <w:kern w:val="0"/>
          <w:sz w:val="32"/>
          <w:szCs w:val="32"/>
          <w:lang w:val="en-US" w:eastAsia="zh-CN"/>
        </w:rPr>
        <w:t>0</w:t>
      </w:r>
      <w:r>
        <w:rPr>
          <w:rFonts w:hint="eastAsia" w:ascii="方正仿宋_GBK" w:hAnsi="方正仿宋_GBK" w:eastAsia="方正仿宋_GBK" w:cs="方正仿宋_GBK"/>
          <w:color w:val="auto"/>
          <w:kern w:val="0"/>
          <w:sz w:val="32"/>
          <w:szCs w:val="32"/>
        </w:rPr>
        <w:t>台（套），单价100万元（含）以上专用设备</w:t>
      </w:r>
      <w:r>
        <w:rPr>
          <w:rFonts w:hint="eastAsia" w:ascii="方正仿宋_GBK" w:hAnsi="方正仿宋_GBK" w:eastAsia="方正仿宋_GBK" w:cs="方正仿宋_GBK"/>
          <w:color w:val="auto"/>
          <w:kern w:val="0"/>
          <w:sz w:val="32"/>
          <w:szCs w:val="32"/>
          <w:lang w:val="en-US" w:eastAsia="zh-CN"/>
        </w:rPr>
        <w:t>0</w:t>
      </w:r>
      <w:r>
        <w:rPr>
          <w:rFonts w:hint="eastAsia" w:ascii="方正仿宋_GBK" w:hAnsi="方正仿宋_GBK" w:eastAsia="方正仿宋_GBK" w:cs="方正仿宋_GBK"/>
          <w:color w:val="auto"/>
          <w:kern w:val="0"/>
          <w:sz w:val="32"/>
          <w:szCs w:val="32"/>
        </w:rPr>
        <w:t>台（套）。</w:t>
      </w:r>
    </w:p>
    <w:p>
      <w:pPr>
        <w:spacing w:line="594" w:lineRule="exact"/>
        <w:ind w:firstLine="643" w:firstLineChars="200"/>
        <w:rPr>
          <w:rFonts w:hint="eastAsia" w:ascii="楷体" w:hAnsi="楷体" w:eastAsia="楷体" w:cs="楷体"/>
          <w:b/>
          <w:bCs/>
          <w:color w:val="auto"/>
          <w:sz w:val="32"/>
          <w:szCs w:val="32"/>
          <w:shd w:val="clear" w:color="auto" w:fill="FFFFFF"/>
          <w:lang w:val="en-US" w:eastAsia="zh-CN" w:bidi="ar-SA"/>
        </w:rPr>
      </w:pPr>
      <w:r>
        <w:rPr>
          <w:rFonts w:hint="eastAsia" w:ascii="楷体" w:hAnsi="楷体" w:eastAsia="楷体" w:cs="楷体"/>
          <w:b/>
          <w:bCs/>
          <w:color w:val="auto"/>
          <w:sz w:val="32"/>
          <w:szCs w:val="32"/>
          <w:shd w:val="clear" w:color="auto" w:fill="FFFFFF"/>
          <w:lang w:val="en-US" w:eastAsia="zh-CN" w:bidi="ar-SA"/>
        </w:rPr>
        <w:t>（三）政府采购支出情况说明。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度本单位政府采购支出总额0.33万元，其中：政府采购货物支出</w:t>
      </w:r>
      <w:r>
        <w:rPr>
          <w:rFonts w:ascii="方正仿宋_GBK" w:hAnsi="方正仿宋_GBK" w:eastAsia="方正仿宋_GBK" w:cs="方正仿宋_GBK"/>
          <w:color w:val="auto"/>
          <w:sz w:val="32"/>
          <w:szCs w:val="32"/>
        </w:rPr>
        <w:t>0.33</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0.33万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100.0%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0.33</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100.0</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12月31日，本单位共有车辆</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16"/>
        <w:keepNext w:val="0"/>
        <w:keepLines w:val="0"/>
        <w:pageBreakBefore w:val="0"/>
        <w:tabs>
          <w:tab w:val="center" w:pos="4153"/>
          <w:tab w:val="left" w:pos="7275"/>
        </w:tabs>
        <w:kinsoku/>
        <w:wordWrap/>
        <w:overflowPunct/>
        <w:topLinePunct w:val="0"/>
        <w:autoSpaceDN/>
        <w:bidi w:val="0"/>
        <w:adjustRightInd/>
        <w:spacing w:line="594" w:lineRule="exact"/>
        <w:ind w:firstLine="640" w:firstLineChars="200"/>
        <w:textAlignment w:val="auto"/>
        <w:rPr>
          <w:rFonts w:hint="eastAsia" w:ascii="Times New Roman" w:hAnsi="Times New Roman" w:eastAsia="方正黑体_GBK" w:cs="宋体"/>
          <w:color w:val="auto"/>
          <w:kern w:val="0"/>
          <w:sz w:val="32"/>
          <w:szCs w:val="32"/>
          <w:highlight w:val="none"/>
        </w:rPr>
      </w:pPr>
      <w:r>
        <w:rPr>
          <w:rFonts w:hint="eastAsia" w:ascii="Times New Roman" w:hAnsi="Times New Roman" w:eastAsia="方正黑体_GBK" w:cs="宋体"/>
          <w:color w:val="auto"/>
          <w:kern w:val="0"/>
          <w:sz w:val="32"/>
          <w:szCs w:val="32"/>
          <w:highlight w:val="none"/>
        </w:rPr>
        <w:t>五、预算绩效管理情况说明</w:t>
      </w:r>
    </w:p>
    <w:p>
      <w:pPr>
        <w:spacing w:line="594" w:lineRule="exact"/>
        <w:ind w:firstLine="643" w:firstLineChars="200"/>
        <w:rPr>
          <w:rFonts w:hint="eastAsia" w:ascii="楷体" w:hAnsi="楷体" w:eastAsia="楷体" w:cs="楷体"/>
          <w:b/>
          <w:bCs/>
          <w:color w:val="auto"/>
          <w:sz w:val="32"/>
          <w:szCs w:val="32"/>
          <w:shd w:val="clear" w:color="auto" w:fill="FFFFFF"/>
          <w:lang w:val="en-US" w:eastAsia="zh-CN" w:bidi="ar-SA"/>
        </w:rPr>
      </w:pPr>
      <w:r>
        <w:rPr>
          <w:rFonts w:hint="eastAsia" w:ascii="楷体" w:hAnsi="楷体" w:eastAsia="楷体" w:cs="楷体"/>
          <w:b/>
          <w:bCs/>
          <w:color w:val="auto"/>
          <w:sz w:val="32"/>
          <w:szCs w:val="32"/>
          <w:shd w:val="clear" w:color="auto" w:fill="FFFFFF"/>
          <w:lang w:val="en-US" w:eastAsia="zh-CN" w:bidi="ar-SA"/>
        </w:rPr>
        <w:t>（一）预算绩效管理工作开展情况</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94" w:lineRule="atLeast"/>
        <w:ind w:right="0" w:rightChars="0" w:firstLine="640" w:firstLineChars="200"/>
        <w:textAlignment w:val="auto"/>
        <w:outlineLvl w:val="9"/>
        <w:rPr>
          <w:rFonts w:hint="eastAsia" w:ascii="Times New Roman" w:hAnsi="Times New Roman" w:eastAsia="方正黑体_GBK" w:cs="宋体"/>
          <w:color w:val="auto"/>
          <w:kern w:val="0"/>
          <w:sz w:val="32"/>
          <w:szCs w:val="32"/>
        </w:rPr>
      </w:pPr>
      <w:r>
        <w:rPr>
          <w:rFonts w:hint="eastAsia" w:ascii="方正仿宋_GBK" w:hAnsi="方正仿宋_GBK" w:eastAsia="方正仿宋_GBK" w:cs="方正仿宋_GBK"/>
          <w:color w:val="auto"/>
          <w:kern w:val="0"/>
          <w:sz w:val="32"/>
          <w:szCs w:val="32"/>
        </w:rPr>
        <w:t>根据预算绩效管理要求，我院对</w:t>
      </w:r>
      <w:r>
        <w:rPr>
          <w:rFonts w:hint="eastAsia" w:ascii="方正仿宋_GBK" w:hAnsi="方正仿宋_GBK" w:eastAsia="方正仿宋_GBK" w:cs="方正仿宋_GBK"/>
          <w:color w:val="auto"/>
          <w:kern w:val="0"/>
          <w:sz w:val="32"/>
          <w:szCs w:val="32"/>
          <w:lang w:val="en-US" w:eastAsia="zh-CN"/>
        </w:rPr>
        <w:t>单位</w:t>
      </w:r>
      <w:r>
        <w:rPr>
          <w:rFonts w:hint="eastAsia" w:ascii="方正仿宋_GBK" w:hAnsi="方正仿宋_GBK" w:eastAsia="方正仿宋_GBK" w:cs="方正仿宋_GBK"/>
          <w:color w:val="auto"/>
          <w:kern w:val="0"/>
          <w:sz w:val="32"/>
          <w:szCs w:val="32"/>
        </w:rPr>
        <w:t>整体临聘人员费用开展了绩效自评。</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94" w:lineRule="atLeast"/>
        <w:ind w:right="0" w:rightChars="0"/>
        <w:textAlignment w:val="auto"/>
        <w:outlineLvl w:val="9"/>
        <w:rPr>
          <w:rFonts w:hint="eastAsia" w:ascii="楷体" w:hAnsi="楷体" w:eastAsia="楷体" w:cs="楷体"/>
          <w:b/>
          <w:bCs/>
          <w:color w:val="auto"/>
          <w:sz w:val="32"/>
          <w:szCs w:val="32"/>
          <w:shd w:val="clear" w:color="auto" w:fill="FFFFFF"/>
          <w:lang w:val="en-US" w:eastAsia="zh-CN" w:bidi="ar-SA"/>
        </w:rPr>
      </w:pPr>
      <w:r>
        <w:rPr>
          <w:rFonts w:hint="eastAsia" w:ascii="Times New Roman" w:hAnsi="Times New Roman" w:eastAsia="方正楷体_GBK"/>
          <w:color w:val="auto"/>
          <w:sz w:val="32"/>
          <w:szCs w:val="32"/>
          <w:lang w:val="en-US" w:eastAsia="zh-CN"/>
        </w:rPr>
        <w:t xml:space="preserve">  </w:t>
      </w:r>
      <w:r>
        <w:rPr>
          <w:rFonts w:hint="eastAsia" w:ascii="楷体" w:hAnsi="楷体" w:eastAsia="楷体" w:cs="楷体"/>
          <w:b/>
          <w:bCs/>
          <w:color w:val="auto"/>
          <w:sz w:val="32"/>
          <w:szCs w:val="32"/>
          <w:shd w:val="clear" w:color="auto" w:fill="FFFFFF"/>
          <w:lang w:val="en-US" w:eastAsia="zh-CN" w:bidi="ar-SA"/>
        </w:rPr>
        <w:t xml:space="preserve">  （二）绩效自评结果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atLeast"/>
        <w:ind w:left="0" w:leftChars="0" w:right="0" w:rightChars="0" w:firstLine="640" w:firstLineChars="200"/>
        <w:jc w:val="both"/>
        <w:textAlignment w:val="auto"/>
        <w:outlineLvl w:val="9"/>
        <w:rPr>
          <w:rFonts w:hint="eastAsia" w:ascii="方正仿宋_GBK" w:hAnsi="宋体" w:eastAsia="方正仿宋_GBK" w:cs="宋体"/>
          <w:color w:val="auto"/>
          <w:kern w:val="0"/>
          <w:sz w:val="32"/>
          <w:szCs w:val="32"/>
          <w:lang w:val="en-US" w:eastAsia="zh-CN" w:bidi="ar-SA"/>
        </w:rPr>
      </w:pPr>
      <w:r>
        <w:rPr>
          <w:rFonts w:hint="eastAsia" w:ascii="方正仿宋_GBK" w:hAnsi="宋体" w:eastAsia="方正仿宋_GBK" w:cs="宋体"/>
          <w:color w:val="auto"/>
          <w:kern w:val="0"/>
          <w:sz w:val="32"/>
          <w:szCs w:val="32"/>
          <w:lang w:val="en-US" w:eastAsia="zh-CN" w:bidi="ar-SA"/>
        </w:rPr>
        <w:t>具体内容详见附件2024年度绩效自评公开表（《</w:t>
      </w:r>
      <w:r>
        <w:rPr>
          <w:rFonts w:hint="eastAsia" w:ascii="方正仿宋_GBK" w:eastAsia="方正仿宋_GBK" w:cs="宋体"/>
          <w:color w:val="auto"/>
          <w:kern w:val="0"/>
          <w:sz w:val="32"/>
          <w:szCs w:val="32"/>
          <w:lang w:val="en-US" w:eastAsia="zh-CN" w:bidi="ar-SA"/>
        </w:rPr>
        <w:t>单位</w:t>
      </w:r>
      <w:r>
        <w:rPr>
          <w:rFonts w:hint="eastAsia" w:ascii="方正仿宋_GBK" w:hAnsi="宋体" w:eastAsia="方正仿宋_GBK" w:cs="宋体"/>
          <w:color w:val="auto"/>
          <w:kern w:val="0"/>
          <w:sz w:val="32"/>
          <w:szCs w:val="32"/>
          <w:lang w:val="en-US" w:eastAsia="zh-CN" w:bidi="ar-SA"/>
        </w:rPr>
        <w:t>整体绩效自评表》、《项目绩效自评结果汇总表》、《项目支出绩效目标自评表》）。</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rPr>
      </w:pPr>
      <w:r>
        <w:rPr>
          <w:rStyle w:val="13"/>
          <w:rFonts w:hint="eastAsia" w:ascii="方正仿宋_GBK" w:hAnsi="方正仿宋_GBK" w:eastAsia="方正仿宋_GBK" w:cs="方正仿宋_GBK"/>
          <w:b/>
          <w:bCs/>
          <w:color w:val="auto"/>
          <w:sz w:val="32"/>
          <w:szCs w:val="32"/>
          <w:shd w:val="clear" w:fill="FFFFFF"/>
        </w:rPr>
        <w:t xml:space="preserve"> </w:t>
      </w:r>
      <w:r>
        <w:rPr>
          <w:rStyle w:val="13"/>
          <w:rFonts w:hint="eastAsia" w:ascii="方正仿宋_GBK" w:hAnsi="方正仿宋_GBK" w:eastAsia="方正仿宋_GBK" w:cs="方正仿宋_GBK"/>
          <w:b/>
          <w:bCs/>
          <w:color w:val="auto"/>
          <w:sz w:val="32"/>
          <w:szCs w:val="32"/>
          <w:shd w:val="clear" w:fill="FFFFFF"/>
          <w:lang w:val="en-US" w:eastAsia="zh-CN"/>
        </w:rPr>
        <w:t xml:space="preserve">  </w:t>
      </w:r>
      <w:r>
        <w:rPr>
          <w:rStyle w:val="10"/>
          <w:rFonts w:hint="eastAsia" w:ascii="黑体" w:hAnsi="黑体" w:eastAsia="黑体" w:cs="黑体"/>
          <w:color w:val="auto"/>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（一）财政拨款收入：</w:t>
      </w:r>
      <w:r>
        <w:rPr>
          <w:rFonts w:hint="eastAsia" w:ascii="方正仿宋_GBK" w:hAnsi="方正仿宋_GBK" w:eastAsia="方正仿宋_GBK" w:cs="方正仿宋_GBK"/>
          <w:color w:val="auto"/>
          <w:kern w:val="0"/>
          <w:sz w:val="32"/>
          <w:szCs w:val="32"/>
          <w:shd w:val="clear" w:fill="FFFFFF"/>
        </w:rPr>
        <w:t>指本年度从本级财政</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（二）事业收入：</w:t>
      </w:r>
      <w:r>
        <w:rPr>
          <w:rFonts w:hint="eastAsia" w:ascii="方正仿宋_GBK" w:hAnsi="方正仿宋_GBK" w:eastAsia="方正仿宋_GBK" w:cs="方正仿宋_GBK"/>
          <w:color w:val="auto"/>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（三）经营收入：</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（四）其他收入：</w:t>
      </w:r>
      <w:r>
        <w:rPr>
          <w:rFonts w:hint="eastAsia" w:ascii="方正仿宋_GBK" w:hAnsi="方正仿宋_GBK" w:eastAsia="方正仿宋_GBK" w:cs="方正仿宋_GBK"/>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以外的同级单位取得的经费、从非本级财政</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（五）使用非财政拨款结余：</w:t>
      </w:r>
      <w:r>
        <w:rPr>
          <w:rFonts w:hint="eastAsia" w:ascii="方正仿宋_GBK" w:hAnsi="方正仿宋_GBK" w:eastAsia="方正仿宋_GBK" w:cs="方正仿宋_GBK"/>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（六）年初结转和结余：</w:t>
      </w:r>
      <w:r>
        <w:rPr>
          <w:rFonts w:hint="eastAsia" w:ascii="方正仿宋_GBK" w:hAnsi="方正仿宋_GBK" w:eastAsia="方正仿宋_GBK" w:cs="方正仿宋_GBK"/>
          <w:color w:val="auto"/>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（七）结余分配：</w:t>
      </w:r>
      <w:r>
        <w:rPr>
          <w:rFonts w:hint="eastAsia" w:ascii="方正仿宋_GBK" w:hAnsi="方正仿宋_GBK" w:eastAsia="方正仿宋_GBK" w:cs="方正仿宋_GBK"/>
          <w:color w:val="auto"/>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（八）年末结转和结余：</w:t>
      </w:r>
      <w:r>
        <w:rPr>
          <w:rFonts w:hint="eastAsia" w:ascii="方正仿宋_GBK" w:hAnsi="方正仿宋_GBK" w:eastAsia="方正仿宋_GBK" w:cs="方正仿宋_GBK"/>
          <w:color w:val="auto"/>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（九）基本支出：</w:t>
      </w:r>
      <w:r>
        <w:rPr>
          <w:rFonts w:hint="eastAsia" w:ascii="方正仿宋_GBK" w:hAnsi="方正仿宋_GBK" w:eastAsia="方正仿宋_GBK" w:cs="方正仿宋_GBK"/>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（十）项目支出：</w:t>
      </w:r>
      <w:r>
        <w:rPr>
          <w:rFonts w:hint="eastAsia" w:ascii="方正仿宋_GBK" w:hAnsi="方正仿宋_GBK" w:eastAsia="方正仿宋_GBK" w:cs="方正仿宋_GBK"/>
          <w:color w:val="auto"/>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（十一）经营支出：</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（十二）“三公”经费：</w:t>
      </w:r>
      <w:r>
        <w:rPr>
          <w:rFonts w:hint="eastAsia" w:ascii="方正仿宋_GBK" w:hAnsi="方正仿宋_GBK" w:eastAsia="方正仿宋_GBK" w:cs="方正仿宋_GBK"/>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（十三）机关运行经费：</w:t>
      </w:r>
      <w:r>
        <w:rPr>
          <w:rFonts w:hint="eastAsia" w:ascii="方正仿宋_GBK" w:hAnsi="方正仿宋_GBK" w:eastAsia="方正仿宋_GBK" w:cs="方正仿宋_GBK"/>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color w:val="auto"/>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color w:val="auto"/>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color w:val="auto"/>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楷体" w:hAnsi="楷体" w:eastAsia="楷体" w:cs="楷体"/>
          <w:color w:val="auto"/>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color w:val="auto"/>
          <w:kern w:val="0"/>
          <w:sz w:val="32"/>
          <w:szCs w:val="32"/>
          <w:shd w:val="clear" w:fill="FFFFFF"/>
        </w:rPr>
        <w:t>反映非各级发展与改革</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0"/>
          <w:rFonts w:hint="eastAsia" w:ascii="黑体" w:hAnsi="黑体" w:eastAsia="黑体" w:cs="黑体"/>
          <w:color w:val="auto"/>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val="en-US" w:eastAsia="zh-CN"/>
        </w:rPr>
        <w:t>向光秀</w:t>
      </w: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40314180</w:t>
      </w:r>
    </w:p>
    <w:p>
      <w:pPr>
        <w:rPr>
          <w:rFonts w:hint="default" w:cs="宋体"/>
          <w:sz w:val="21"/>
          <w:szCs w:val="21"/>
        </w:rPr>
      </w:pPr>
    </w:p>
    <w:p>
      <w:pPr>
        <w:rPr>
          <w:rFonts w:hint="default"/>
          <w:sz w:val="18"/>
          <w:szCs w:val="18"/>
        </w:rPr>
      </w:pPr>
    </w:p>
    <w:sectPr>
      <w:headerReference r:id="rId3" w:type="default"/>
      <w:footerReference r:id="rId4" w:type="default"/>
      <w:pgSz w:w="11850" w:h="16783"/>
      <w:pgMar w:top="2098" w:right="1474" w:bottom="1984"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OGMyZmUyODgzNDI0Y2FjMThmNDhlOTQyODQyNW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47104E"/>
    <w:rsid w:val="086C12F4"/>
    <w:rsid w:val="08705944"/>
    <w:rsid w:val="08BA052C"/>
    <w:rsid w:val="08DB07BA"/>
    <w:rsid w:val="0969353F"/>
    <w:rsid w:val="098305D0"/>
    <w:rsid w:val="09B1218B"/>
    <w:rsid w:val="0A3317EA"/>
    <w:rsid w:val="0A5C4B69"/>
    <w:rsid w:val="0A86124A"/>
    <w:rsid w:val="0AB54CC0"/>
    <w:rsid w:val="0B9335CE"/>
    <w:rsid w:val="0BF2311A"/>
    <w:rsid w:val="0C1E733C"/>
    <w:rsid w:val="0C5A32D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5779C0"/>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457FE9"/>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0EA7211"/>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AB7EDF"/>
    <w:rsid w:val="4D1F53CA"/>
    <w:rsid w:val="4DAC4ACA"/>
    <w:rsid w:val="4DBE01D2"/>
    <w:rsid w:val="4EFD467F"/>
    <w:rsid w:val="4F0C6BA3"/>
    <w:rsid w:val="4F186D58"/>
    <w:rsid w:val="504B6EAA"/>
    <w:rsid w:val="50F06B6E"/>
    <w:rsid w:val="51D21804"/>
    <w:rsid w:val="52234D33"/>
    <w:rsid w:val="522F6E0C"/>
    <w:rsid w:val="52463BA1"/>
    <w:rsid w:val="52F163D4"/>
    <w:rsid w:val="53021069"/>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5F73E6"/>
    <w:rsid w:val="578867FC"/>
    <w:rsid w:val="582632A6"/>
    <w:rsid w:val="5842572D"/>
    <w:rsid w:val="5A3B59D6"/>
    <w:rsid w:val="5A9C7A99"/>
    <w:rsid w:val="5AD134D8"/>
    <w:rsid w:val="5BF41F67"/>
    <w:rsid w:val="5C263CE4"/>
    <w:rsid w:val="5C525B41"/>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182FC3"/>
    <w:rsid w:val="656152C6"/>
    <w:rsid w:val="6587477F"/>
    <w:rsid w:val="658C3A08"/>
    <w:rsid w:val="65C031CA"/>
    <w:rsid w:val="65CE6852"/>
    <w:rsid w:val="66267C04"/>
    <w:rsid w:val="663F505A"/>
    <w:rsid w:val="666C2D2F"/>
    <w:rsid w:val="66AF5D7C"/>
    <w:rsid w:val="66EE5541"/>
    <w:rsid w:val="67924660"/>
    <w:rsid w:val="68407834"/>
    <w:rsid w:val="6883293E"/>
    <w:rsid w:val="688412AD"/>
    <w:rsid w:val="68926AFB"/>
    <w:rsid w:val="68EB1B71"/>
    <w:rsid w:val="696C0310"/>
    <w:rsid w:val="6A6C7940"/>
    <w:rsid w:val="6A9F1565"/>
    <w:rsid w:val="6AAD2300"/>
    <w:rsid w:val="6B1C7A24"/>
    <w:rsid w:val="6B474EF5"/>
    <w:rsid w:val="6BC938E5"/>
    <w:rsid w:val="6C0A5AC5"/>
    <w:rsid w:val="6C560CAE"/>
    <w:rsid w:val="6C576495"/>
    <w:rsid w:val="6D903FF5"/>
    <w:rsid w:val="6DA955B8"/>
    <w:rsid w:val="6DE346AB"/>
    <w:rsid w:val="6DE5391A"/>
    <w:rsid w:val="6E825B7A"/>
    <w:rsid w:val="6EFD1324"/>
    <w:rsid w:val="6F5A53AC"/>
    <w:rsid w:val="6FAC003D"/>
    <w:rsid w:val="6FD926BF"/>
    <w:rsid w:val="6FE55E12"/>
    <w:rsid w:val="6FE73160"/>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84604CA"/>
    <w:rsid w:val="796D60A4"/>
    <w:rsid w:val="79A031D5"/>
    <w:rsid w:val="79B47FDF"/>
    <w:rsid w:val="79E569A9"/>
    <w:rsid w:val="7A1525F7"/>
    <w:rsid w:val="7B420052"/>
    <w:rsid w:val="7BD06A28"/>
    <w:rsid w:val="7C3A7C0B"/>
    <w:rsid w:val="7C5248E4"/>
    <w:rsid w:val="7C566698"/>
    <w:rsid w:val="7C5866A3"/>
    <w:rsid w:val="7D7406BB"/>
    <w:rsid w:val="7DE94331"/>
    <w:rsid w:val="7E2B263C"/>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4476</Words>
  <Characters>5024</Characters>
  <Lines>186</Lines>
  <Paragraphs>52</Paragraphs>
  <TotalTime>71</TotalTime>
  <ScaleCrop>false</ScaleCrop>
  <LinksUpToDate>false</LinksUpToDate>
  <CharactersWithSpaces>5101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2025-10-11T06:27:45Z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9457886BBB8B4DFC80B1BD77668CFA61_13</vt:lpwstr>
  </property>
  <property fmtid="{D5CDD505-2E9C-101B-9397-08002B2CF9AE}" pid="4" name="KSOTemplateDocerSaveRecord">
    <vt:lpwstr>eyJoZGlkIjoiMGI0NjEyNTRiNzE0OWMxY2JjODFmNmU2OWMyM2Y1MDkiLCJ1c2VySWQiOiI3NjMwMzIwNDcifQ==</vt:lpwstr>
  </property>
</Properties>
</file>