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F68E0">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44"/>
          <w:szCs w:val="44"/>
          <w:highlight w:val="none"/>
        </w:rPr>
      </w:pPr>
      <w:r>
        <w:rPr>
          <w:rFonts w:ascii="方正小标宋_GBK" w:hAnsi="方正小标宋_GBK" w:eastAsia="方正小标宋_GBK" w:cs="方正小标宋_GBK"/>
          <w:color w:val="auto"/>
          <w:sz w:val="44"/>
          <w:szCs w:val="44"/>
          <w:highlight w:val="none"/>
        </w:rPr>
        <w:t>重庆市长寿区邻封镇卫生院</w:t>
      </w:r>
    </w:p>
    <w:p w14:paraId="132A442B">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44"/>
          <w:szCs w:val="44"/>
          <w:highlight w:val="none"/>
          <w:shd w:val="clear" w:color="auto" w:fill="FFFFFF"/>
        </w:rPr>
      </w:pPr>
      <w:r>
        <w:rPr>
          <w:rFonts w:hint="default" w:ascii="Times New Roman" w:hAnsi="Times New Roman" w:eastAsia="方正小标宋_GBK" w:cs="Times New Roman"/>
          <w:color w:val="auto"/>
          <w:sz w:val="44"/>
          <w:szCs w:val="44"/>
          <w:highlight w:val="none"/>
          <w:shd w:val="clear" w:color="auto" w:fill="FFFFFF"/>
        </w:rPr>
        <w:t>2024</w:t>
      </w:r>
      <w:r>
        <w:rPr>
          <w:rFonts w:ascii="方正小标宋_GBK" w:hAnsi="方正小标宋_GBK" w:eastAsia="方正小标宋_GBK" w:cs="方正小标宋_GBK"/>
          <w:color w:val="auto"/>
          <w:sz w:val="44"/>
          <w:szCs w:val="44"/>
          <w:highlight w:val="none"/>
          <w:shd w:val="clear" w:color="auto" w:fill="FFFFFF"/>
        </w:rPr>
        <w:t>年度决算公开说明</w:t>
      </w:r>
    </w:p>
    <w:p w14:paraId="0A12A373">
      <w:pPr>
        <w:pStyle w:val="2"/>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highlight w:val="none"/>
          <w:shd w:val="clear" w:color="auto" w:fill="FFFFFF"/>
        </w:rPr>
      </w:pPr>
    </w:p>
    <w:p w14:paraId="458B0DFD">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hint="default" w:ascii="黑体" w:hAnsi="黑体" w:eastAsia="黑体" w:cs="黑体"/>
          <w:color w:val="auto"/>
          <w:sz w:val="32"/>
          <w:szCs w:val="32"/>
          <w:highlight w:val="none"/>
          <w:shd w:val="clear" w:color="auto" w:fill="FFFFFF"/>
        </w:rPr>
      </w:pPr>
      <w:r>
        <w:rPr>
          <w:rStyle w:val="5"/>
          <w:rFonts w:ascii="黑体" w:hAnsi="黑体" w:eastAsia="黑体" w:cs="黑体"/>
          <w:color w:val="auto"/>
          <w:sz w:val="32"/>
          <w:szCs w:val="32"/>
          <w:highlight w:val="none"/>
          <w:shd w:val="clear" w:color="auto" w:fill="FFFFFF"/>
        </w:rPr>
        <w:t>一、</w:t>
      </w:r>
      <w:r>
        <w:rPr>
          <w:rStyle w:val="5"/>
          <w:rFonts w:hint="eastAsia" w:ascii="黑体" w:hAnsi="黑体" w:eastAsia="黑体" w:cs="黑体"/>
          <w:color w:val="auto"/>
          <w:sz w:val="32"/>
          <w:szCs w:val="32"/>
          <w:highlight w:val="none"/>
          <w:shd w:val="clear" w:color="auto" w:fill="FFFFFF"/>
          <w:lang w:eastAsia="zh-CN"/>
        </w:rPr>
        <w:t>单位</w:t>
      </w:r>
      <w:r>
        <w:rPr>
          <w:rStyle w:val="5"/>
          <w:rFonts w:ascii="黑体" w:hAnsi="黑体" w:eastAsia="黑体" w:cs="黑体"/>
          <w:color w:val="auto"/>
          <w:sz w:val="32"/>
          <w:szCs w:val="32"/>
          <w:highlight w:val="none"/>
          <w:shd w:val="clear" w:color="auto" w:fill="FFFFFF"/>
        </w:rPr>
        <w:t>基本情况</w:t>
      </w:r>
    </w:p>
    <w:p w14:paraId="197F1393">
      <w:pPr>
        <w:pStyle w:val="2"/>
        <w:shd w:val="clear" w:color="auto" w:fill="FFFFFF"/>
        <w:ind w:firstLine="420"/>
        <w:rPr>
          <w:rFonts w:hint="default" w:ascii="方正仿宋_GBK" w:hAnsi="方正仿宋_GBK" w:eastAsia="方正仿宋_GBK" w:cs="方正仿宋_GBK"/>
          <w:color w:val="auto"/>
          <w:sz w:val="32"/>
          <w:szCs w:val="32"/>
          <w:highlight w:val="none"/>
        </w:rPr>
      </w:pPr>
      <w:r>
        <w:rPr>
          <w:rStyle w:val="5"/>
          <w:rFonts w:ascii="楷体" w:hAnsi="楷体" w:eastAsia="楷体" w:cs="楷体"/>
          <w:color w:val="auto"/>
          <w:sz w:val="32"/>
          <w:szCs w:val="32"/>
          <w:highlight w:val="none"/>
          <w:shd w:val="clear" w:color="auto" w:fill="FFFFFF"/>
        </w:rPr>
        <w:t>（一）职能职责</w:t>
      </w:r>
    </w:p>
    <w:p w14:paraId="5EE83A6D">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承担公共卫生服务。主要包括:疾病控制、妇幼保健、卫生监督协管、健康教育等公共卫生相关服务,独立完成公共卫生服务项目任务。</w:t>
      </w:r>
    </w:p>
    <w:p w14:paraId="679C472C">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承担基本医疗服务。主要包括:一般常见病、多发病的门诊和住院诊治,医疗康复,推广中医药适宜技术,发挥中医药在常见病、多发病和慢性病防治中的作用。</w:t>
      </w:r>
    </w:p>
    <w:p w14:paraId="20DBC219">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承担计划生育技术服务。主要包括:避孕节育、生殖健康、优生服务和家庭保健等相关服务。</w:t>
      </w:r>
    </w:p>
    <w:p w14:paraId="1615271F">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承担卫生应急任务。主要包括:区域内“120” 急救、突发事件紧急医疗救援、突发公共卫生事件防控等相关任务。</w:t>
      </w:r>
    </w:p>
    <w:p w14:paraId="7ED23B87">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承担卫生管理任务。主要包括:协助区卫生健康委负责辖区内卫生管理工作,协助当地党委政府指导爱国卫生工作等相关任务。</w:t>
      </w:r>
    </w:p>
    <w:p w14:paraId="33B2CBE2">
      <w:pPr>
        <w:pStyle w:val="2"/>
        <w:shd w:val="clear" w:color="auto" w:fill="FFFFFF"/>
        <w:ind w:firstLine="420"/>
        <w:rPr>
          <w:rFonts w:hint="default" w:ascii="楷体" w:hAnsi="楷体" w:eastAsia="楷体" w:cs="楷体"/>
          <w:color w:val="auto"/>
          <w:sz w:val="32"/>
          <w:szCs w:val="32"/>
          <w:highlight w:val="none"/>
        </w:rPr>
      </w:pPr>
      <w:r>
        <w:rPr>
          <w:rStyle w:val="5"/>
          <w:rFonts w:ascii="楷体" w:hAnsi="楷体" w:eastAsia="楷体" w:cs="楷体"/>
          <w:color w:val="auto"/>
          <w:sz w:val="32"/>
          <w:szCs w:val="32"/>
          <w:highlight w:val="none"/>
          <w:shd w:val="clear" w:color="auto" w:fill="FFFFFF"/>
        </w:rPr>
        <w:t>（二）机构设置</w:t>
      </w:r>
    </w:p>
    <w:p w14:paraId="4A09921B">
      <w:pPr>
        <w:pStyle w:val="2"/>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邻封镇卫生院是重庆市长寿区卫生健康委下属正科级公益一类差额拨款事业单位。下设焦家分院，医院设置内科、外科、妇产科、急诊组、全科医疗科、康复科、口腔科、检验科、放射科、B超心电室、药剂科、公共卫生科、护理部、院感科等科室。</w:t>
      </w:r>
    </w:p>
    <w:p w14:paraId="18C4E0FB">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hint="default" w:ascii="黑体" w:hAnsi="黑体" w:eastAsia="黑体" w:cs="黑体"/>
          <w:color w:val="auto"/>
          <w:sz w:val="32"/>
          <w:szCs w:val="32"/>
          <w:highlight w:val="none"/>
          <w:shd w:val="clear" w:color="auto" w:fill="FFFFFF"/>
        </w:rPr>
      </w:pPr>
      <w:r>
        <w:rPr>
          <w:rStyle w:val="5"/>
          <w:rFonts w:ascii="黑体" w:hAnsi="黑体" w:eastAsia="黑体" w:cs="黑体"/>
          <w:color w:val="auto"/>
          <w:sz w:val="32"/>
          <w:szCs w:val="32"/>
          <w:highlight w:val="none"/>
          <w:shd w:val="clear" w:color="auto" w:fill="FFFFFF"/>
        </w:rPr>
        <w:t>二、</w:t>
      </w:r>
      <w:r>
        <w:rPr>
          <w:rStyle w:val="5"/>
          <w:rFonts w:hint="eastAsia" w:ascii="黑体" w:hAnsi="黑体" w:eastAsia="黑体" w:cs="黑体"/>
          <w:color w:val="auto"/>
          <w:sz w:val="32"/>
          <w:szCs w:val="32"/>
          <w:highlight w:val="none"/>
          <w:shd w:val="clear" w:color="auto" w:fill="FFFFFF"/>
          <w:lang w:eastAsia="zh-CN"/>
        </w:rPr>
        <w:t>单位</w:t>
      </w:r>
      <w:r>
        <w:rPr>
          <w:rStyle w:val="5"/>
          <w:rFonts w:ascii="黑体" w:hAnsi="黑体" w:eastAsia="黑体" w:cs="黑体"/>
          <w:color w:val="auto"/>
          <w:sz w:val="32"/>
          <w:szCs w:val="32"/>
          <w:highlight w:val="none"/>
          <w:shd w:val="clear" w:color="auto" w:fill="FFFFFF"/>
        </w:rPr>
        <w:t>决算</w:t>
      </w:r>
      <w:r>
        <w:rPr>
          <w:rStyle w:val="5"/>
          <w:rFonts w:hint="eastAsia" w:ascii="黑体" w:hAnsi="黑体" w:eastAsia="黑体" w:cs="黑体"/>
          <w:color w:val="auto"/>
          <w:sz w:val="32"/>
          <w:szCs w:val="32"/>
          <w:highlight w:val="none"/>
          <w:shd w:val="clear" w:color="auto" w:fill="FFFFFF"/>
          <w:lang w:eastAsia="zh-CN"/>
        </w:rPr>
        <w:t>收支</w:t>
      </w:r>
      <w:r>
        <w:rPr>
          <w:rStyle w:val="5"/>
          <w:rFonts w:ascii="黑体" w:hAnsi="黑体" w:eastAsia="黑体" w:cs="黑体"/>
          <w:color w:val="auto"/>
          <w:sz w:val="32"/>
          <w:szCs w:val="32"/>
          <w:highlight w:val="none"/>
          <w:shd w:val="clear" w:color="auto" w:fill="FFFFFF"/>
        </w:rPr>
        <w:t>情况说明</w:t>
      </w:r>
    </w:p>
    <w:p w14:paraId="2A9008F1">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（一）收入支出决算总体情况说明</w:t>
      </w:r>
    </w:p>
    <w:p w14:paraId="51472010">
      <w:pPr>
        <w:pStyle w:val="2"/>
        <w:keepNext w:val="0"/>
        <w:keepLines w:val="0"/>
        <w:pageBreakBefore w:val="0"/>
        <w:widowControl/>
        <w:shd w:val="clear" w:color="auto" w:fill="FFFFFF"/>
        <w:kinsoku/>
        <w:wordWrap/>
        <w:overflowPunct/>
        <w:topLinePunct w:val="0"/>
        <w:autoSpaceDE/>
        <w:autoSpaceDN/>
        <w:bidi w:val="0"/>
        <w:adjustRightInd/>
        <w:spacing w:line="600" w:lineRule="exact"/>
        <w:ind w:firstLine="643" w:firstLineChars="200"/>
        <w:textAlignment w:val="auto"/>
        <w:rPr>
          <w:rFonts w:ascii="方正仿宋_GBK" w:hAnsi="方正仿宋_GBK" w:eastAsia="方正仿宋_GBK" w:cs="方正仿宋_GBK"/>
          <w:color w:val="auto"/>
          <w:sz w:val="32"/>
          <w:szCs w:val="32"/>
          <w:highlight w:val="none"/>
          <w:shd w:val="clear" w:color="auto" w:fill="FFFFFF"/>
        </w:rPr>
      </w:pPr>
      <w:r>
        <w:rPr>
          <w:rStyle w:val="5"/>
          <w:rFonts w:ascii="方正仿宋_GBK" w:hAnsi="方正仿宋_GBK" w:eastAsia="方正仿宋_GBK" w:cs="方正仿宋_GBK"/>
          <w:color w:val="auto"/>
          <w:sz w:val="32"/>
          <w:szCs w:val="32"/>
          <w:highlight w:val="none"/>
          <w:shd w:val="clear" w:color="auto" w:fill="FFFFFF"/>
        </w:rPr>
        <w:t>1.总体情况。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度收入总计1522.78万元，支出总计</w:t>
      </w:r>
      <w:r>
        <w:rPr>
          <w:rFonts w:ascii="方正仿宋_GBK" w:hAnsi="方正仿宋_GBK" w:eastAsia="方正仿宋_GBK" w:cs="方正仿宋_GBK"/>
          <w:color w:val="auto"/>
          <w:sz w:val="32"/>
          <w:szCs w:val="32"/>
          <w:highlight w:val="none"/>
        </w:rPr>
        <w:t>1522.78</w:t>
      </w:r>
      <w:r>
        <w:rPr>
          <w:rFonts w:ascii="方正仿宋_GBK" w:hAnsi="方正仿宋_GBK" w:eastAsia="方正仿宋_GBK" w:cs="方正仿宋_GBK"/>
          <w:color w:val="auto"/>
          <w:sz w:val="32"/>
          <w:szCs w:val="32"/>
          <w:highlight w:val="none"/>
          <w:shd w:val="clear" w:color="auto" w:fill="FFFFFF"/>
        </w:rPr>
        <w:t>万元。收、支与2023年度相比，减少22.24万元，下降1.4%，主要原因是</w:t>
      </w:r>
      <w:r>
        <w:rPr>
          <w:rFonts w:hint="eastAsia" w:ascii="方正仿宋_GBK" w:hAnsi="方正仿宋_GBK" w:eastAsia="方正仿宋_GBK" w:cs="方正仿宋_GBK"/>
          <w:color w:val="auto"/>
          <w:sz w:val="32"/>
          <w:szCs w:val="32"/>
          <w:highlight w:val="none"/>
          <w:shd w:val="clear" w:color="auto" w:fill="FFFFFF"/>
        </w:rPr>
        <w:t>2024年无年初结转和结余，而2023有年初结转和结余38.02万元</w:t>
      </w:r>
      <w:r>
        <w:rPr>
          <w:rFonts w:ascii="方正仿宋_GBK" w:hAnsi="方正仿宋_GBK" w:eastAsia="方正仿宋_GBK" w:cs="方正仿宋_GBK"/>
          <w:color w:val="auto"/>
          <w:sz w:val="32"/>
          <w:szCs w:val="32"/>
          <w:highlight w:val="none"/>
          <w:shd w:val="clear" w:color="auto" w:fill="FFFFFF"/>
        </w:rPr>
        <w:t>。</w:t>
      </w:r>
    </w:p>
    <w:p w14:paraId="05B99672">
      <w:pPr>
        <w:pStyle w:val="2"/>
        <w:keepNext w:val="0"/>
        <w:keepLines w:val="0"/>
        <w:pageBreakBefore w:val="0"/>
        <w:widowControl/>
        <w:shd w:val="clear" w:color="auto" w:fill="FFFFFF"/>
        <w:kinsoku/>
        <w:wordWrap/>
        <w:overflowPunct/>
        <w:topLinePunct w:val="0"/>
        <w:autoSpaceDE/>
        <w:autoSpaceDN/>
        <w:bidi w:val="0"/>
        <w:adjustRightInd/>
        <w:spacing w:line="600" w:lineRule="exact"/>
        <w:ind w:firstLine="643" w:firstLineChars="200"/>
        <w:textAlignment w:val="auto"/>
        <w:rPr>
          <w:rFonts w:hint="default" w:ascii="方正仿宋_GBK" w:hAnsi="方正仿宋_GBK" w:eastAsia="方正仿宋_GBK" w:cs="方正仿宋_GBK"/>
          <w:color w:val="auto"/>
          <w:sz w:val="32"/>
          <w:szCs w:val="32"/>
          <w:highlight w:val="none"/>
          <w:shd w:val="clear" w:color="auto" w:fill="FFFFFF"/>
        </w:rPr>
      </w:pPr>
      <w:r>
        <w:rPr>
          <w:rStyle w:val="5"/>
          <w:rFonts w:ascii="方正仿宋_GBK" w:hAnsi="方正仿宋_GBK" w:eastAsia="方正仿宋_GBK" w:cs="方正仿宋_GBK"/>
          <w:color w:val="auto"/>
          <w:sz w:val="32"/>
          <w:szCs w:val="32"/>
          <w:highlight w:val="none"/>
          <w:shd w:val="clear" w:color="auto" w:fill="FFFFFF"/>
        </w:rPr>
        <w:t>2.收入情况。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度收入合计1522.78万元，与2023年度相比，增加15.79万元，增长1.1%，主要原因是</w:t>
      </w:r>
      <w:r>
        <w:rPr>
          <w:rFonts w:hint="eastAsia" w:ascii="方正仿宋_GBK" w:hAnsi="方正仿宋_GBK" w:eastAsia="方正仿宋_GBK" w:cs="方正仿宋_GBK"/>
          <w:color w:val="auto"/>
          <w:sz w:val="32"/>
          <w:szCs w:val="32"/>
          <w:highlight w:val="none"/>
          <w:shd w:val="clear" w:color="auto" w:fill="FFFFFF"/>
        </w:rPr>
        <w:t>社保</w:t>
      </w:r>
      <w:r>
        <w:rPr>
          <w:rFonts w:hint="eastAsia" w:ascii="方正仿宋_GBK" w:hAnsi="方正仿宋_GBK" w:eastAsia="方正仿宋_GBK" w:cs="方正仿宋_GBK"/>
          <w:color w:val="auto"/>
          <w:sz w:val="32"/>
          <w:szCs w:val="32"/>
          <w:highlight w:val="none"/>
          <w:shd w:val="clear" w:color="auto" w:fill="FFFFFF"/>
          <w:lang w:val="en-US" w:eastAsia="zh-CN"/>
        </w:rPr>
        <w:t>缴费</w:t>
      </w:r>
      <w:r>
        <w:rPr>
          <w:rFonts w:hint="eastAsia" w:ascii="方正仿宋_GBK" w:hAnsi="方正仿宋_GBK" w:eastAsia="方正仿宋_GBK" w:cs="方正仿宋_GBK"/>
          <w:color w:val="auto"/>
          <w:sz w:val="32"/>
          <w:szCs w:val="32"/>
          <w:highlight w:val="none"/>
          <w:shd w:val="clear" w:color="auto" w:fill="FFFFFF"/>
        </w:rPr>
        <w:t>基数增加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其中：财政拨款收入</w:t>
      </w:r>
      <w:r>
        <w:rPr>
          <w:rFonts w:ascii="方正仿宋_GBK" w:hAnsi="方正仿宋_GBK" w:eastAsia="方正仿宋_GBK" w:cs="方正仿宋_GBK"/>
          <w:color w:val="auto"/>
          <w:sz w:val="32"/>
          <w:szCs w:val="32"/>
          <w:highlight w:val="none"/>
        </w:rPr>
        <w:t>1070.13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70.3%</w:t>
      </w:r>
      <w:r>
        <w:rPr>
          <w:rFonts w:ascii="方正仿宋_GBK" w:hAnsi="方正仿宋_GBK" w:eastAsia="方正仿宋_GBK" w:cs="方正仿宋_GBK"/>
          <w:color w:val="auto"/>
          <w:sz w:val="32"/>
          <w:szCs w:val="32"/>
          <w:highlight w:val="none"/>
          <w:shd w:val="clear" w:color="auto" w:fill="FFFFFF"/>
        </w:rPr>
        <w:t>；事业收入</w:t>
      </w:r>
      <w:r>
        <w:rPr>
          <w:rFonts w:ascii="方正仿宋_GBK" w:hAnsi="方正仿宋_GBK" w:eastAsia="方正仿宋_GBK" w:cs="方正仿宋_GBK"/>
          <w:color w:val="auto"/>
          <w:sz w:val="32"/>
          <w:szCs w:val="32"/>
          <w:highlight w:val="none"/>
        </w:rPr>
        <w:t>384.19</w:t>
      </w:r>
      <w:r>
        <w:rPr>
          <w:rFonts w:ascii="方正仿宋_GBK" w:hAnsi="方正仿宋_GBK" w:eastAsia="方正仿宋_GBK" w:cs="方正仿宋_GBK"/>
          <w:color w:val="auto"/>
          <w:sz w:val="32"/>
          <w:szCs w:val="32"/>
          <w:highlight w:val="none"/>
          <w:shd w:val="clear" w:color="auto" w:fill="FFFFFF"/>
        </w:rPr>
        <w:t>万元，占25.2%；经营收入</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万元，占0.0%；其他收入</w:t>
      </w:r>
      <w:r>
        <w:rPr>
          <w:rFonts w:ascii="方正仿宋_GBK" w:hAnsi="方正仿宋_GBK" w:eastAsia="方正仿宋_GBK" w:cs="方正仿宋_GBK"/>
          <w:color w:val="auto"/>
          <w:sz w:val="32"/>
          <w:szCs w:val="32"/>
          <w:highlight w:val="none"/>
        </w:rPr>
        <w:t>68.46</w:t>
      </w:r>
      <w:r>
        <w:rPr>
          <w:rFonts w:ascii="方正仿宋_GBK" w:hAnsi="方正仿宋_GBK" w:eastAsia="方正仿宋_GBK" w:cs="方正仿宋_GBK"/>
          <w:color w:val="auto"/>
          <w:sz w:val="32"/>
          <w:szCs w:val="32"/>
          <w:highlight w:val="none"/>
          <w:shd w:val="clear" w:color="auto" w:fill="FFFFFF"/>
        </w:rPr>
        <w:t>万元，占4.5%。此外，使用非财政拨款结余（含专用结余）</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万元，年初结转和结余</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w:t>
      </w:r>
    </w:p>
    <w:p w14:paraId="1D7F8560">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5"/>
          <w:rFonts w:ascii="方正仿宋_GBK" w:hAnsi="方正仿宋_GBK" w:eastAsia="方正仿宋_GBK" w:cs="方正仿宋_GBK"/>
          <w:color w:val="auto"/>
          <w:sz w:val="32"/>
          <w:szCs w:val="32"/>
          <w:highlight w:val="none"/>
          <w:shd w:val="clear" w:color="auto" w:fill="FFFFFF"/>
        </w:rPr>
        <w:t>3.支出情况。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度支出合计</w:t>
      </w:r>
      <w:r>
        <w:rPr>
          <w:rFonts w:ascii="方正仿宋_GBK" w:hAnsi="方正仿宋_GBK" w:eastAsia="方正仿宋_GBK" w:cs="方正仿宋_GBK"/>
          <w:color w:val="auto"/>
          <w:sz w:val="32"/>
          <w:szCs w:val="32"/>
          <w:highlight w:val="none"/>
        </w:rPr>
        <w:t>1522.78</w:t>
      </w:r>
      <w:r>
        <w:rPr>
          <w:rFonts w:ascii="方正仿宋_GBK" w:hAnsi="方正仿宋_GBK" w:eastAsia="方正仿宋_GBK" w:cs="方正仿宋_GBK"/>
          <w:color w:val="auto"/>
          <w:sz w:val="32"/>
          <w:szCs w:val="32"/>
          <w:highlight w:val="none"/>
          <w:shd w:val="clear" w:color="auto" w:fill="FFFFFF"/>
        </w:rPr>
        <w:t>万元，与2023年度相比，减少22.24万元，下降1.4%，主要原因是</w:t>
      </w:r>
      <w:r>
        <w:rPr>
          <w:rFonts w:hint="eastAsia" w:ascii="方正仿宋_GBK" w:hAnsi="方正仿宋_GBK" w:eastAsia="方正仿宋_GBK" w:cs="方正仿宋_GBK"/>
          <w:color w:val="auto"/>
          <w:sz w:val="32"/>
          <w:szCs w:val="32"/>
          <w:highlight w:val="none"/>
          <w:shd w:val="clear" w:color="auto" w:fill="FFFFFF"/>
        </w:rPr>
        <w:t>2024年无年初结转和结余</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其中：基本支出</w:t>
      </w:r>
      <w:r>
        <w:rPr>
          <w:rFonts w:ascii="方正仿宋_GBK" w:hAnsi="方正仿宋_GBK" w:eastAsia="方正仿宋_GBK" w:cs="方正仿宋_GBK"/>
          <w:color w:val="auto"/>
          <w:sz w:val="32"/>
          <w:szCs w:val="32"/>
          <w:highlight w:val="none"/>
        </w:rPr>
        <w:t>1342.78</w:t>
      </w:r>
      <w:r>
        <w:rPr>
          <w:rFonts w:ascii="方正仿宋_GBK" w:hAnsi="方正仿宋_GBK" w:eastAsia="方正仿宋_GBK" w:cs="方正仿宋_GBK"/>
          <w:color w:val="auto"/>
          <w:sz w:val="32"/>
          <w:szCs w:val="32"/>
          <w:highlight w:val="none"/>
          <w:shd w:val="clear" w:color="auto" w:fill="FFFFFF"/>
        </w:rPr>
        <w:t>万元，占88.2%；项目支出</w:t>
      </w:r>
      <w:r>
        <w:rPr>
          <w:rFonts w:hint="eastAsia" w:ascii="方正仿宋_GBK" w:hAnsi="方正仿宋_GBK" w:eastAsia="方正仿宋_GBK" w:cs="方正仿宋_GBK"/>
          <w:color w:val="auto"/>
          <w:sz w:val="32"/>
          <w:szCs w:val="32"/>
          <w:highlight w:val="none"/>
          <w:lang w:val="en-US" w:eastAsia="zh-CN"/>
        </w:rPr>
        <w:t>180</w:t>
      </w:r>
      <w:r>
        <w:rPr>
          <w:rFonts w:ascii="方正仿宋_GBK" w:hAnsi="方正仿宋_GBK" w:eastAsia="方正仿宋_GBK" w:cs="方正仿宋_GBK"/>
          <w:color w:val="auto"/>
          <w:sz w:val="32"/>
          <w:szCs w:val="32"/>
          <w:highlight w:val="none"/>
          <w:shd w:val="clear" w:color="auto" w:fill="FFFFFF"/>
        </w:rPr>
        <w:t>万元，占11.8%；经营支出</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万元，占0.0%。此外，结余分配</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w:t>
      </w:r>
    </w:p>
    <w:p w14:paraId="4C8B90FF">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none"/>
        </w:rPr>
      </w:pPr>
      <w:r>
        <w:rPr>
          <w:rStyle w:val="5"/>
          <w:rFonts w:ascii="方正仿宋_GBK" w:hAnsi="方正仿宋_GBK" w:eastAsia="方正仿宋_GBK" w:cs="方正仿宋_GBK"/>
          <w:color w:val="auto"/>
          <w:sz w:val="32"/>
          <w:szCs w:val="32"/>
          <w:highlight w:val="none"/>
          <w:shd w:val="clear" w:color="auto" w:fill="FFFFFF"/>
        </w:rPr>
        <w:t>4.结转结余情况。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度年末结转和结余</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万元，与2023年度相比，无增减</w:t>
      </w:r>
      <w:r>
        <w:rPr>
          <w:rFonts w:ascii="方正仿宋_GBK" w:hAnsi="方正仿宋_GBK" w:eastAsia="方正仿宋_GBK" w:cs="方正仿宋_GBK"/>
          <w:color w:val="auto"/>
          <w:sz w:val="32"/>
          <w:szCs w:val="32"/>
          <w:highlight w:val="none"/>
          <w:shd w:val="clear" w:color="auto" w:fill="FFFFFF"/>
        </w:rPr>
        <w:t>。</w:t>
      </w:r>
    </w:p>
    <w:p w14:paraId="107F4566">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（二）财政拨款收入支出决算总体情况说明</w:t>
      </w:r>
    </w:p>
    <w:p w14:paraId="21F3B5D3">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度财政拨款收、支总计1070.13万元。与202</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年相比，财政拨款收、支总计各增加220.05万元，增长25.9%。主要原因是</w:t>
      </w:r>
      <w:r>
        <w:rPr>
          <w:rFonts w:hint="eastAsia" w:ascii="方正仿宋_GBK" w:hAnsi="方正仿宋_GBK" w:eastAsia="方正仿宋_GBK" w:cs="方正仿宋_GBK"/>
          <w:color w:val="auto"/>
          <w:sz w:val="32"/>
          <w:szCs w:val="32"/>
          <w:highlight w:val="none"/>
          <w:shd w:val="clear" w:color="auto" w:fill="FFFFFF"/>
        </w:rPr>
        <w:t>人员经费及项目支出的增加</w:t>
      </w:r>
      <w:r>
        <w:rPr>
          <w:rFonts w:ascii="方正仿宋_GBK" w:hAnsi="方正仿宋_GBK" w:eastAsia="方正仿宋_GBK" w:cs="方正仿宋_GBK"/>
          <w:color w:val="auto"/>
          <w:sz w:val="32"/>
          <w:szCs w:val="32"/>
          <w:highlight w:val="none"/>
          <w:shd w:val="clear" w:color="auto" w:fill="FFFFFF"/>
        </w:rPr>
        <w:t>。</w:t>
      </w:r>
    </w:p>
    <w:p w14:paraId="6791DB0C">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（三）一般公共预算财政拨款收入支出决算情况说明</w:t>
      </w:r>
    </w:p>
    <w:p w14:paraId="53453820">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none"/>
        </w:rPr>
      </w:pPr>
      <w:r>
        <w:rPr>
          <w:rStyle w:val="5"/>
          <w:rFonts w:ascii="方正仿宋_GBK" w:hAnsi="方正仿宋_GBK" w:eastAsia="方正仿宋_GBK" w:cs="方正仿宋_GBK"/>
          <w:color w:val="auto"/>
          <w:sz w:val="32"/>
          <w:szCs w:val="32"/>
          <w:highlight w:val="none"/>
          <w:shd w:val="clear" w:color="auto" w:fill="FFFFFF"/>
        </w:rPr>
        <w:t>1.收入情况。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度一般公共预算财政拨款收入</w:t>
      </w:r>
      <w:r>
        <w:rPr>
          <w:rFonts w:ascii="方正仿宋_GBK" w:hAnsi="方正仿宋_GBK" w:eastAsia="方正仿宋_GBK" w:cs="方正仿宋_GBK"/>
          <w:color w:val="auto"/>
          <w:sz w:val="32"/>
          <w:szCs w:val="32"/>
          <w:highlight w:val="none"/>
        </w:rPr>
        <w:t>1070.13</w:t>
      </w:r>
      <w:r>
        <w:rPr>
          <w:rFonts w:ascii="方正仿宋_GBK" w:hAnsi="方正仿宋_GBK" w:eastAsia="方正仿宋_GBK" w:cs="方正仿宋_GBK"/>
          <w:color w:val="auto"/>
          <w:sz w:val="32"/>
          <w:szCs w:val="32"/>
          <w:highlight w:val="none"/>
          <w:shd w:val="clear" w:color="auto" w:fill="FFFFFF"/>
        </w:rPr>
        <w:t>万元，与2023年度相比，增加258.07万元，增长31.8%。主要原因是</w:t>
      </w:r>
      <w:r>
        <w:rPr>
          <w:rFonts w:hint="eastAsia" w:ascii="方正仿宋_GBK" w:hAnsi="方正仿宋_GBK" w:eastAsia="方正仿宋_GBK" w:cs="方正仿宋_GBK"/>
          <w:color w:val="auto"/>
          <w:sz w:val="32"/>
          <w:szCs w:val="32"/>
          <w:highlight w:val="none"/>
          <w:shd w:val="clear" w:color="auto" w:fill="FFFFFF"/>
        </w:rPr>
        <w:t>人员经费及项目支出的增加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较年初预算数增加193.47万元，增长22.1%。主要原因是</w:t>
      </w:r>
      <w:r>
        <w:rPr>
          <w:rFonts w:hint="eastAsia" w:ascii="方正仿宋_GBK" w:hAnsi="方正仿宋_GBK" w:eastAsia="方正仿宋_GBK" w:cs="方正仿宋_GBK"/>
          <w:color w:val="auto"/>
          <w:sz w:val="32"/>
          <w:szCs w:val="32"/>
          <w:highlight w:val="none"/>
          <w:shd w:val="clear" w:color="auto" w:fill="FFFFFF"/>
        </w:rPr>
        <w:t>项目经费的增加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eastAsia" w:ascii="方正仿宋_GBK" w:hAnsi="方正仿宋_GBK" w:eastAsia="方正仿宋_GBK" w:cs="方正仿宋_GBK"/>
          <w:color w:val="auto"/>
          <w:sz w:val="32"/>
          <w:szCs w:val="32"/>
          <w:highlight w:val="none"/>
          <w:lang w:val="en-US" w:eastAsia="zh-CN"/>
        </w:rPr>
        <w:t>0</w:t>
      </w:r>
      <w:r>
        <w:rPr>
          <w:rFonts w:ascii="方正仿宋_GBK" w:hAnsi="方正仿宋_GBK" w:eastAsia="方正仿宋_GBK" w:cs="方正仿宋_GBK"/>
          <w:color w:val="auto"/>
          <w:sz w:val="32"/>
          <w:szCs w:val="32"/>
          <w:highlight w:val="none"/>
          <w:shd w:val="clear" w:color="auto" w:fill="FFFFFF"/>
        </w:rPr>
        <w:t>万元。</w:t>
      </w:r>
    </w:p>
    <w:p w14:paraId="42880936">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none"/>
        </w:rPr>
      </w:pPr>
      <w:r>
        <w:rPr>
          <w:rStyle w:val="5"/>
          <w:rFonts w:ascii="方正仿宋_GBK" w:hAnsi="方正仿宋_GBK" w:eastAsia="方正仿宋_GBK" w:cs="方正仿宋_GBK"/>
          <w:color w:val="auto"/>
          <w:sz w:val="32"/>
          <w:szCs w:val="32"/>
          <w:highlight w:val="none"/>
          <w:shd w:val="clear" w:color="auto" w:fill="FFFFFF"/>
        </w:rPr>
        <w:t>2.支出情况。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度一般公共预算财政拨款支出</w:t>
      </w:r>
      <w:r>
        <w:rPr>
          <w:rFonts w:ascii="方正仿宋_GBK" w:hAnsi="方正仿宋_GBK" w:eastAsia="方正仿宋_GBK" w:cs="方正仿宋_GBK"/>
          <w:color w:val="auto"/>
          <w:sz w:val="32"/>
          <w:szCs w:val="32"/>
          <w:highlight w:val="none"/>
        </w:rPr>
        <w:t>1070.13</w:t>
      </w:r>
      <w:r>
        <w:rPr>
          <w:rFonts w:ascii="方正仿宋_GBK" w:hAnsi="方正仿宋_GBK" w:eastAsia="方正仿宋_GBK" w:cs="方正仿宋_GBK"/>
          <w:color w:val="auto"/>
          <w:sz w:val="32"/>
          <w:szCs w:val="32"/>
          <w:highlight w:val="none"/>
          <w:shd w:val="clear" w:color="auto" w:fill="FFFFFF"/>
        </w:rPr>
        <w:t>万元，与2023年度相比，增加250.05万元，增长30.5%。主要原因是</w:t>
      </w:r>
      <w:r>
        <w:rPr>
          <w:rFonts w:hint="eastAsia" w:ascii="方正仿宋_GBK" w:hAnsi="方正仿宋_GBK" w:eastAsia="方正仿宋_GBK" w:cs="方正仿宋_GBK"/>
          <w:color w:val="auto"/>
          <w:sz w:val="32"/>
          <w:szCs w:val="32"/>
          <w:highlight w:val="none"/>
          <w:shd w:val="clear" w:color="auto" w:fill="FFFFFF"/>
        </w:rPr>
        <w:t>人员经费及项目支出的增加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较年初预算数增加193.47万元，增长22.1%。主要原因是</w:t>
      </w:r>
      <w:r>
        <w:rPr>
          <w:rFonts w:hint="eastAsia" w:ascii="方正仿宋_GBK" w:hAnsi="方正仿宋_GBK" w:eastAsia="方正仿宋_GBK" w:cs="方正仿宋_GBK"/>
          <w:color w:val="auto"/>
          <w:sz w:val="32"/>
          <w:szCs w:val="32"/>
          <w:highlight w:val="none"/>
          <w:shd w:val="clear" w:color="auto" w:fill="FFFFFF"/>
        </w:rPr>
        <w:t>项目经费的增加</w:t>
      </w:r>
      <w:r>
        <w:rPr>
          <w:rFonts w:ascii="方正仿宋_GBK" w:hAnsi="方正仿宋_GBK" w:eastAsia="方正仿宋_GBK" w:cs="方正仿宋_GBK"/>
          <w:color w:val="auto"/>
          <w:sz w:val="32"/>
          <w:szCs w:val="32"/>
          <w:highlight w:val="none"/>
          <w:shd w:val="clear" w:color="auto" w:fill="FFFFFF"/>
        </w:rPr>
        <w:t>。</w:t>
      </w:r>
    </w:p>
    <w:p w14:paraId="22C5C042">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none"/>
        </w:rPr>
      </w:pPr>
      <w:r>
        <w:rPr>
          <w:rStyle w:val="5"/>
          <w:rFonts w:ascii="方正仿宋_GBK" w:hAnsi="方正仿宋_GBK" w:eastAsia="方正仿宋_GBK" w:cs="方正仿宋_GBK"/>
          <w:color w:val="auto"/>
          <w:sz w:val="32"/>
          <w:szCs w:val="32"/>
          <w:highlight w:val="none"/>
          <w:shd w:val="clear" w:color="auto" w:fill="FFFFFF"/>
        </w:rPr>
        <w:t>3.结转结余情况。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度年末一般公共预算财政拨款结转和结余</w:t>
      </w:r>
      <w:r>
        <w:rPr>
          <w:rFonts w:hint="eastAsia" w:ascii="方正仿宋_GBK" w:hAnsi="方正仿宋_GBK" w:eastAsia="方正仿宋_GBK" w:cs="方正仿宋_GBK"/>
          <w:color w:val="auto"/>
          <w:sz w:val="32"/>
          <w:szCs w:val="32"/>
          <w:highlight w:val="none"/>
          <w:shd w:val="clear" w:color="auto" w:fill="FFFFFF"/>
          <w:lang w:val="en-US" w:eastAsia="zh-CN"/>
        </w:rPr>
        <w:t>0</w:t>
      </w:r>
      <w:r>
        <w:rPr>
          <w:rFonts w:ascii="方正仿宋_GBK" w:hAnsi="方正仿宋_GBK" w:eastAsia="方正仿宋_GBK" w:cs="方正仿宋_GBK"/>
          <w:color w:val="auto"/>
          <w:sz w:val="32"/>
          <w:szCs w:val="32"/>
          <w:highlight w:val="none"/>
          <w:shd w:val="clear" w:color="auto" w:fill="FFFFFF"/>
        </w:rPr>
        <w:t>万元，与2023年度相比，无增减</w:t>
      </w:r>
      <w:r>
        <w:rPr>
          <w:rFonts w:ascii="方正仿宋_GBK" w:hAnsi="方正仿宋_GBK" w:eastAsia="方正仿宋_GBK" w:cs="方正仿宋_GBK"/>
          <w:color w:val="auto"/>
          <w:sz w:val="32"/>
          <w:szCs w:val="32"/>
          <w:highlight w:val="none"/>
          <w:shd w:val="clear" w:color="auto" w:fill="FFFFFF"/>
        </w:rPr>
        <w:t>。</w:t>
      </w:r>
    </w:p>
    <w:p w14:paraId="6536755A">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none"/>
          <w:shd w:val="clear" w:color="auto" w:fill="FFFFFF"/>
        </w:rPr>
      </w:pPr>
      <w:r>
        <w:rPr>
          <w:rStyle w:val="5"/>
          <w:rFonts w:ascii="方正仿宋_GBK" w:hAnsi="方正仿宋_GBK" w:eastAsia="方正仿宋_GBK" w:cs="方正仿宋_GBK"/>
          <w:color w:val="auto"/>
          <w:sz w:val="32"/>
          <w:szCs w:val="32"/>
          <w:highlight w:val="none"/>
          <w:shd w:val="clear" w:color="auto" w:fill="FFFFFF"/>
        </w:rPr>
        <w:t>4.比较情况。</w:t>
      </w:r>
      <w:r>
        <w:rPr>
          <w:rFonts w:ascii="方正仿宋_GBK" w:hAnsi="方正仿宋_GBK" w:eastAsia="方正仿宋_GBK" w:cs="方正仿宋_GBK"/>
          <w:color w:val="auto"/>
          <w:sz w:val="32"/>
          <w:szCs w:val="32"/>
          <w:highlight w:val="none"/>
          <w:shd w:val="clear" w:color="auto" w:fill="FFFFFF"/>
        </w:rPr>
        <w:t>本单位</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度一般公共预算财政拨款支出主要用于以下几个方面：</w:t>
      </w:r>
    </w:p>
    <w:p w14:paraId="48EC6ACB">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ascii="方正仿宋_GBK" w:hAnsi="方正仿宋_GBK" w:eastAsia="方正仿宋_GBK" w:cs="方正仿宋_GBK"/>
          <w:color w:val="auto"/>
          <w:sz w:val="32"/>
          <w:szCs w:val="32"/>
          <w:highlight w:val="none"/>
        </w:rPr>
        <w:t>233.77</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21.8%</w:t>
      </w:r>
      <w:r>
        <w:rPr>
          <w:rFonts w:ascii="方正仿宋_GBK" w:hAnsi="方正仿宋_GBK" w:eastAsia="方正仿宋_GBK" w:cs="方正仿宋_GBK"/>
          <w:color w:val="auto"/>
          <w:sz w:val="32"/>
          <w:szCs w:val="32"/>
          <w:highlight w:val="none"/>
          <w:shd w:val="clear" w:color="auto" w:fill="FFFFFF"/>
        </w:rPr>
        <w:t>，较年初预算数增加29.67万元，增长14.5%，主要原因是</w:t>
      </w:r>
      <w:r>
        <w:rPr>
          <w:rFonts w:hint="eastAsia" w:ascii="方正仿宋_GBK" w:hAnsi="方正仿宋_GBK" w:eastAsia="方正仿宋_GBK" w:cs="方正仿宋_GBK"/>
          <w:color w:val="auto"/>
          <w:sz w:val="32"/>
          <w:szCs w:val="32"/>
          <w:highlight w:val="none"/>
          <w:shd w:val="clear" w:color="auto" w:fill="FFFFFF"/>
        </w:rPr>
        <w:t>社保</w:t>
      </w:r>
      <w:r>
        <w:rPr>
          <w:rFonts w:hint="eastAsia" w:ascii="方正仿宋_GBK" w:hAnsi="方正仿宋_GBK" w:eastAsia="方正仿宋_GBK" w:cs="方正仿宋_GBK"/>
          <w:color w:val="auto"/>
          <w:sz w:val="32"/>
          <w:szCs w:val="32"/>
          <w:highlight w:val="none"/>
          <w:shd w:val="clear" w:color="auto" w:fill="FFFFFF"/>
          <w:lang w:val="en-US" w:eastAsia="zh-CN"/>
        </w:rPr>
        <w:t>缴费</w:t>
      </w:r>
      <w:r>
        <w:rPr>
          <w:rFonts w:hint="eastAsia" w:ascii="方正仿宋_GBK" w:hAnsi="方正仿宋_GBK" w:eastAsia="方正仿宋_GBK" w:cs="方正仿宋_GBK"/>
          <w:color w:val="auto"/>
          <w:sz w:val="32"/>
          <w:szCs w:val="32"/>
          <w:highlight w:val="none"/>
          <w:shd w:val="clear" w:color="auto" w:fill="FFFFFF"/>
        </w:rPr>
        <w:t>基数增加</w:t>
      </w:r>
      <w:r>
        <w:rPr>
          <w:rFonts w:ascii="方正仿宋_GBK" w:hAnsi="方正仿宋_GBK" w:eastAsia="方正仿宋_GBK" w:cs="方正仿宋_GBK"/>
          <w:color w:val="auto"/>
          <w:sz w:val="32"/>
          <w:szCs w:val="32"/>
          <w:highlight w:val="none"/>
          <w:shd w:val="clear" w:color="auto" w:fill="FFFFFF"/>
        </w:rPr>
        <w:t>。</w:t>
      </w:r>
    </w:p>
    <w:p w14:paraId="5CD3F962">
      <w:pPr>
        <w:pStyle w:val="2"/>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ascii="方正仿宋_GBK" w:hAnsi="方正仿宋_GBK" w:eastAsia="方正仿宋_GBK" w:cs="方正仿宋_GBK"/>
          <w:color w:val="auto"/>
          <w:sz w:val="32"/>
          <w:szCs w:val="32"/>
          <w:highlight w:val="none"/>
        </w:rPr>
        <w:t>808.83</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75.6%</w:t>
      </w:r>
      <w:r>
        <w:rPr>
          <w:rFonts w:ascii="方正仿宋_GBK" w:hAnsi="方正仿宋_GBK" w:eastAsia="方正仿宋_GBK" w:cs="方正仿宋_GBK"/>
          <w:color w:val="auto"/>
          <w:sz w:val="32"/>
          <w:szCs w:val="32"/>
          <w:highlight w:val="none"/>
          <w:shd w:val="clear" w:color="auto" w:fill="FFFFFF"/>
        </w:rPr>
        <w:t>，较年初预算数增加162.39万元，增长25.1%，主要原因是</w:t>
      </w:r>
      <w:r>
        <w:rPr>
          <w:rFonts w:hint="eastAsia" w:ascii="方正仿宋_GBK" w:hAnsi="方正仿宋_GBK" w:eastAsia="方正仿宋_GBK" w:cs="方正仿宋_GBK"/>
          <w:color w:val="auto"/>
          <w:sz w:val="32"/>
          <w:szCs w:val="32"/>
          <w:highlight w:val="none"/>
          <w:shd w:val="clear" w:color="auto" w:fill="FFFFFF"/>
        </w:rPr>
        <w:t>项目经费的增加</w:t>
      </w:r>
      <w:r>
        <w:rPr>
          <w:rFonts w:ascii="方正仿宋_GBK" w:hAnsi="方正仿宋_GBK" w:eastAsia="方正仿宋_GBK" w:cs="方正仿宋_GBK"/>
          <w:color w:val="auto"/>
          <w:sz w:val="32"/>
          <w:szCs w:val="32"/>
          <w:highlight w:val="none"/>
          <w:shd w:val="clear" w:color="auto" w:fill="FFFFFF"/>
        </w:rPr>
        <w:t>。</w:t>
      </w:r>
    </w:p>
    <w:p w14:paraId="4A24FB6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住房保障支出27.54</w:t>
      </w:r>
      <w:r>
        <w:rPr>
          <w:rFonts w:ascii="方正仿宋_GBK" w:hAnsi="方正仿宋_GBK" w:eastAsia="方正仿宋_GBK" w:cs="方正仿宋_GBK"/>
          <w:color w:val="auto"/>
          <w:sz w:val="32"/>
          <w:szCs w:val="32"/>
          <w:highlight w:val="none"/>
          <w:shd w:val="clear" w:color="auto" w:fill="FFFFFF"/>
        </w:rPr>
        <w:t>万元，占</w:t>
      </w:r>
      <w:r>
        <w:rPr>
          <w:rFonts w:ascii="方正仿宋_GBK" w:hAnsi="方正仿宋_GBK" w:eastAsia="方正仿宋_GBK" w:cs="方正仿宋_GBK"/>
          <w:color w:val="auto"/>
          <w:sz w:val="32"/>
          <w:szCs w:val="32"/>
          <w:highlight w:val="none"/>
        </w:rPr>
        <w:t>2.6%</w:t>
      </w:r>
      <w:r>
        <w:rPr>
          <w:rFonts w:ascii="方正仿宋_GBK" w:hAnsi="方正仿宋_GBK" w:eastAsia="方正仿宋_GBK" w:cs="方正仿宋_GBK"/>
          <w:color w:val="auto"/>
          <w:sz w:val="32"/>
          <w:szCs w:val="32"/>
          <w:highlight w:val="none"/>
          <w:shd w:val="clear" w:color="auto" w:fill="FFFFFF"/>
        </w:rPr>
        <w:t>，较年初预算数增加1.42万元，增长5.4%，主要原因是</w:t>
      </w:r>
      <w:r>
        <w:rPr>
          <w:rFonts w:hint="eastAsia" w:ascii="方正仿宋_GBK" w:hAnsi="方正仿宋_GBK" w:eastAsia="方正仿宋_GBK" w:cs="方正仿宋_GBK"/>
          <w:color w:val="auto"/>
          <w:sz w:val="32"/>
          <w:szCs w:val="32"/>
          <w:highlight w:val="none"/>
          <w:shd w:val="clear" w:color="auto" w:fill="FFFFFF"/>
          <w:lang w:val="en-US" w:eastAsia="zh-CN"/>
        </w:rPr>
        <w:t>公积金基数的调整</w:t>
      </w:r>
      <w:r>
        <w:rPr>
          <w:rFonts w:ascii="方正仿宋_GBK" w:hAnsi="方正仿宋_GBK" w:eastAsia="方正仿宋_GBK" w:cs="方正仿宋_GBK"/>
          <w:color w:val="auto"/>
          <w:sz w:val="32"/>
          <w:szCs w:val="32"/>
          <w:highlight w:val="none"/>
          <w:shd w:val="clear" w:color="auto" w:fill="FFFFFF"/>
        </w:rPr>
        <w:t>。</w:t>
      </w:r>
    </w:p>
    <w:p w14:paraId="0C759AAE">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14:paraId="34A963BD">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 </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度一般公共财政拨款基本支出</w:t>
      </w:r>
      <w:r>
        <w:rPr>
          <w:rFonts w:ascii="方正仿宋_GBK" w:hAnsi="方正仿宋_GBK" w:eastAsia="方正仿宋_GBK" w:cs="方正仿宋_GBK"/>
          <w:color w:val="auto"/>
          <w:sz w:val="32"/>
          <w:szCs w:val="32"/>
          <w:highlight w:val="none"/>
        </w:rPr>
        <w:t>890.13</w:t>
      </w:r>
      <w:r>
        <w:rPr>
          <w:rFonts w:ascii="方正仿宋_GBK" w:hAnsi="方正仿宋_GBK" w:eastAsia="方正仿宋_GBK" w:cs="方正仿宋_GBK"/>
          <w:color w:val="auto"/>
          <w:sz w:val="32"/>
          <w:szCs w:val="32"/>
          <w:highlight w:val="none"/>
          <w:shd w:val="clear" w:color="auto" w:fill="FFFFFF"/>
        </w:rPr>
        <w:t>万元。其中：人员经费</w:t>
      </w:r>
      <w:r>
        <w:rPr>
          <w:rFonts w:ascii="方正仿宋_GBK" w:hAnsi="方正仿宋_GBK" w:eastAsia="方正仿宋_GBK" w:cs="方正仿宋_GBK"/>
          <w:color w:val="auto"/>
          <w:sz w:val="32"/>
          <w:szCs w:val="32"/>
          <w:highlight w:val="none"/>
        </w:rPr>
        <w:t>887.93</w:t>
      </w:r>
      <w:r>
        <w:rPr>
          <w:rFonts w:ascii="方正仿宋_GBK" w:hAnsi="方正仿宋_GBK" w:eastAsia="方正仿宋_GBK" w:cs="方正仿宋_GBK"/>
          <w:color w:val="auto"/>
          <w:sz w:val="32"/>
          <w:szCs w:val="32"/>
          <w:highlight w:val="none"/>
          <w:shd w:val="clear" w:color="auto" w:fill="FFFFFF"/>
        </w:rPr>
        <w:t>万元，与2023年度相比，增加213.70万元，增长31.7%，主要原因是</w:t>
      </w:r>
      <w:r>
        <w:rPr>
          <w:rFonts w:hint="eastAsia" w:ascii="方正仿宋_GBK" w:hAnsi="方正仿宋_GBK" w:eastAsia="方正仿宋_GBK" w:cs="方正仿宋_GBK"/>
          <w:color w:val="auto"/>
          <w:sz w:val="32"/>
          <w:szCs w:val="32"/>
          <w:highlight w:val="none"/>
          <w:shd w:val="clear" w:color="auto" w:fill="FFFFFF"/>
        </w:rPr>
        <w:t>人员薪酬标准提高、社保缴费基数调整</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rPr>
        <w:t>工资福利支出、对个人和家庭的补助等</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公用经费</w:t>
      </w:r>
      <w:r>
        <w:rPr>
          <w:rFonts w:ascii="方正仿宋_GBK" w:hAnsi="方正仿宋_GBK" w:eastAsia="方正仿宋_GBK" w:cs="方正仿宋_GBK"/>
          <w:color w:val="auto"/>
          <w:sz w:val="32"/>
          <w:szCs w:val="32"/>
          <w:highlight w:val="none"/>
        </w:rPr>
        <w:t>2.20</w:t>
      </w:r>
      <w:r>
        <w:rPr>
          <w:rFonts w:ascii="方正仿宋_GBK" w:hAnsi="方正仿宋_GBK" w:eastAsia="方正仿宋_GBK" w:cs="方正仿宋_GBK"/>
          <w:color w:val="auto"/>
          <w:sz w:val="32"/>
          <w:szCs w:val="32"/>
          <w:highlight w:val="none"/>
          <w:shd w:val="clear" w:color="auto" w:fill="FFFFFF"/>
        </w:rPr>
        <w:t>万元，与2023年度相比，增加0.25万元，增长12.8%，主要原因是</w:t>
      </w:r>
      <w:r>
        <w:rPr>
          <w:rFonts w:hint="eastAsia" w:ascii="方正仿宋_GBK" w:hAnsi="方正仿宋_GBK" w:eastAsia="方正仿宋_GBK" w:cs="方正仿宋_GBK"/>
          <w:color w:val="auto"/>
          <w:sz w:val="32"/>
          <w:szCs w:val="32"/>
          <w:highlight w:val="none"/>
          <w:shd w:val="clear" w:color="auto" w:fill="FFFFFF"/>
        </w:rPr>
        <w:t>劳务费的增加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劳务费</w:t>
      </w:r>
      <w:r>
        <w:rPr>
          <w:rFonts w:ascii="方正仿宋_GBK" w:hAnsi="方正仿宋_GBK" w:eastAsia="方正仿宋_GBK" w:cs="方正仿宋_GBK"/>
          <w:color w:val="auto"/>
          <w:sz w:val="32"/>
          <w:szCs w:val="32"/>
          <w:highlight w:val="none"/>
          <w:shd w:val="clear" w:color="auto" w:fill="FFFFFF"/>
        </w:rPr>
        <w:t>。</w:t>
      </w:r>
    </w:p>
    <w:p w14:paraId="1529AF5C">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14:paraId="4B4EC9E8">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shd w:val="clear" w:color="auto" w:fill="FFFFFF"/>
        </w:rPr>
        <w:t>本单位2024年度无政府性基金预算财政拨款收支</w:t>
      </w:r>
      <w:r>
        <w:rPr>
          <w:rFonts w:hint="eastAsia" w:ascii="方正仿宋_GBK" w:hAnsi="方正仿宋_GBK" w:eastAsia="方正仿宋_GBK" w:cs="方正仿宋_GBK"/>
          <w:color w:val="auto"/>
          <w:sz w:val="32"/>
          <w:szCs w:val="32"/>
          <w:highlight w:val="none"/>
          <w:shd w:val="clear" w:color="auto" w:fill="FFFFFF"/>
          <w:lang w:eastAsia="zh-CN"/>
        </w:rPr>
        <w:t>。</w:t>
      </w:r>
    </w:p>
    <w:p w14:paraId="184FB383">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14:paraId="00A3E7C1">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 </w:t>
      </w:r>
      <w:r>
        <w:rPr>
          <w:rFonts w:hint="eastAsia" w:ascii="方正仿宋_GBK" w:hAnsi="方正仿宋_GBK" w:eastAsia="方正仿宋_GBK" w:cs="方正仿宋_GBK"/>
          <w:color w:val="auto"/>
          <w:sz w:val="32"/>
          <w:szCs w:val="32"/>
          <w:highlight w:val="none"/>
          <w:shd w:val="clear" w:color="auto" w:fill="FFFFFF"/>
        </w:rPr>
        <w:t>本单位2024年度无国有资本经营预算财政拨款支出。</w:t>
      </w:r>
    </w:p>
    <w:p w14:paraId="06C747BA">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highlight w:val="none"/>
        </w:rPr>
      </w:pPr>
      <w:r>
        <w:rPr>
          <w:rStyle w:val="5"/>
          <w:rFonts w:ascii="黑体" w:hAnsi="黑体" w:eastAsia="黑体" w:cs="黑体"/>
          <w:color w:val="auto"/>
          <w:sz w:val="32"/>
          <w:szCs w:val="32"/>
          <w:highlight w:val="none"/>
          <w:shd w:val="clear" w:color="auto" w:fill="FFFFFF"/>
        </w:rPr>
        <w:t>三、</w:t>
      </w:r>
      <w:r>
        <w:rPr>
          <w:rStyle w:val="5"/>
          <w:rFonts w:hint="eastAsia" w:ascii="黑体" w:hAnsi="黑体" w:eastAsia="黑体" w:cs="黑体"/>
          <w:color w:val="auto"/>
          <w:sz w:val="32"/>
          <w:szCs w:val="32"/>
          <w:highlight w:val="none"/>
          <w:shd w:val="clear" w:color="auto" w:fill="FFFFFF"/>
          <w:lang w:eastAsia="zh-CN"/>
        </w:rPr>
        <w:t>财政拨款</w:t>
      </w:r>
      <w:r>
        <w:rPr>
          <w:rStyle w:val="5"/>
          <w:rFonts w:ascii="黑体" w:hAnsi="黑体" w:eastAsia="黑体" w:cs="黑体"/>
          <w:color w:val="auto"/>
          <w:sz w:val="32"/>
          <w:szCs w:val="32"/>
          <w:highlight w:val="none"/>
          <w:shd w:val="clear" w:color="auto" w:fill="FFFFFF"/>
        </w:rPr>
        <w:t>“三公”经费情况说明</w:t>
      </w:r>
    </w:p>
    <w:p w14:paraId="412269CB">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我单位属于差额拨款单位，财政未保障我单位“三公”经费</w:t>
      </w:r>
      <w:r>
        <w:rPr>
          <w:rFonts w:ascii="方正仿宋_GBK" w:hAnsi="方正仿宋_GBK" w:eastAsia="方正仿宋_GBK" w:cs="方正仿宋_GBK"/>
          <w:color w:val="auto"/>
          <w:sz w:val="32"/>
          <w:szCs w:val="32"/>
          <w:highlight w:val="none"/>
          <w:shd w:val="clear" w:color="auto" w:fill="FFFFFF"/>
        </w:rPr>
        <w:t>。</w:t>
      </w:r>
    </w:p>
    <w:p w14:paraId="305DFED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5"/>
          <w:rFonts w:hint="default" w:ascii="黑体" w:hAnsi="黑体" w:eastAsia="黑体" w:cs="黑体"/>
          <w:color w:val="auto"/>
          <w:sz w:val="32"/>
          <w:szCs w:val="32"/>
          <w:highlight w:val="none"/>
          <w:shd w:val="clear" w:color="auto" w:fill="FFFFFF"/>
        </w:rPr>
      </w:pPr>
      <w:r>
        <w:rPr>
          <w:rStyle w:val="5"/>
          <w:rFonts w:ascii="黑体" w:hAnsi="黑体" w:eastAsia="黑体" w:cs="黑体"/>
          <w:color w:val="auto"/>
          <w:sz w:val="32"/>
          <w:szCs w:val="32"/>
          <w:highlight w:val="none"/>
          <w:shd w:val="clear" w:color="auto" w:fill="FFFFFF"/>
        </w:rPr>
        <w:t>四、其他需要说明的事项</w:t>
      </w:r>
    </w:p>
    <w:p w14:paraId="28382905">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 xml:space="preserve"> （一）财政拨款会议费和培训费情况说明</w:t>
      </w:r>
    </w:p>
    <w:p w14:paraId="769E7436">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因我单位属于差额拨款单位，财政未保障我单位会议费和培训费。</w:t>
      </w:r>
    </w:p>
    <w:p w14:paraId="136387E9">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14:paraId="672A9FDB">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lang w:eastAsia="zh-CN"/>
        </w:rPr>
        <w:t>因我单位属于差额拨款单位，财政未保障我单位机关运行经费</w:t>
      </w:r>
      <w:r>
        <w:rPr>
          <w:rFonts w:hint="default" w:ascii="方正仿宋_GBK" w:hAnsi="方正仿宋_GBK" w:eastAsia="方正仿宋_GBK" w:cs="方正仿宋_GBK"/>
          <w:color w:val="auto"/>
          <w:sz w:val="32"/>
          <w:szCs w:val="32"/>
          <w:highlight w:val="none"/>
          <w:shd w:val="clear" w:color="auto" w:fill="FFFFFF"/>
        </w:rPr>
        <w:t>。</w:t>
      </w:r>
    </w:p>
    <w:p w14:paraId="0AD613B3">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14:paraId="5A35A4EA">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rPr>
        <w:t>截至</w:t>
      </w:r>
      <w:r>
        <w:rPr>
          <w:rFonts w:hint="eastAsia" w:ascii="方正仿宋_GBK" w:hAnsi="方正仿宋_GBK" w:eastAsia="方正仿宋_GBK" w:cs="方正仿宋_GBK"/>
          <w:color w:val="auto"/>
          <w:sz w:val="32"/>
          <w:szCs w:val="32"/>
          <w:highlight w:val="none"/>
          <w:shd w:val="clear" w:color="auto" w:fill="FFFFFF"/>
          <w:lang w:eastAsia="zh-CN"/>
        </w:rPr>
        <w:t>2024年12月31日，本单位共有车辆1辆，其中：特种专业技术用车1辆。单价50万元（含）以上通用设备0台（套），单价100万元（含）以上专用设备1台（套）。</w:t>
      </w:r>
    </w:p>
    <w:p w14:paraId="350D9AC3">
      <w:pPr>
        <w:pStyle w:val="6"/>
        <w:autoSpaceDE w:val="0"/>
        <w:ind w:firstLine="643"/>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14:paraId="1349C73B">
      <w:pPr>
        <w:pStyle w:val="2"/>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lang w:eastAsia="zh-CN"/>
        </w:rPr>
        <w:t>2024年度本单位政府采购支出总额0.33万元，其中：政府采购货物支出0.33万元、政府采购工程支出0万元、政府采购服务支出0万元。授予中小企业合同金额0.33万元，占政府采购支出总额的100.0%，其中：授予小微企业合同金额0.33万元，占政府采购支出总额</w:t>
      </w:r>
      <w:bookmarkStart w:id="0" w:name="_GoBack"/>
      <w:bookmarkEnd w:id="0"/>
      <w:r>
        <w:rPr>
          <w:rFonts w:hint="eastAsia" w:ascii="方正仿宋_GBK" w:hAnsi="方正仿宋_GBK" w:eastAsia="方正仿宋_GBK" w:cs="方正仿宋_GBK"/>
          <w:color w:val="auto"/>
          <w:sz w:val="32"/>
          <w:szCs w:val="32"/>
          <w:highlight w:val="none"/>
          <w:shd w:val="clear" w:color="auto" w:fill="FFFFFF"/>
          <w:lang w:eastAsia="zh-CN"/>
        </w:rPr>
        <w:t>的100.0 %。</w:t>
      </w:r>
    </w:p>
    <w:p w14:paraId="692D2679">
      <w:pPr>
        <w:pStyle w:val="7"/>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eastAsia" w:ascii="Times New Roman" w:hAnsi="Times New Roman" w:eastAsia="方正黑体_GBK" w:cs="宋体"/>
          <w:color w:val="auto"/>
          <w:kern w:val="0"/>
          <w:sz w:val="32"/>
          <w:szCs w:val="32"/>
          <w:highlight w:val="none"/>
        </w:rPr>
      </w:pPr>
      <w:r>
        <w:rPr>
          <w:rFonts w:hint="eastAsia" w:ascii="Times New Roman" w:hAnsi="Times New Roman" w:eastAsia="方正黑体_GBK" w:cs="宋体"/>
          <w:color w:val="auto"/>
          <w:kern w:val="0"/>
          <w:sz w:val="32"/>
          <w:szCs w:val="32"/>
          <w:highlight w:val="none"/>
        </w:rPr>
        <w:t>五、预算绩效管理情况说明</w:t>
      </w:r>
    </w:p>
    <w:p w14:paraId="0C20CBFC">
      <w:pPr>
        <w:pStyle w:val="2"/>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b w:val="0"/>
          <w:color w:val="auto"/>
          <w:kern w:val="2"/>
          <w:sz w:val="32"/>
          <w:szCs w:val="32"/>
          <w:highlight w:val="none"/>
          <w:shd w:val="clear" w:color="auto" w:fill="FFFFFF"/>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（一）预算绩效管理工作开展情况</w:t>
      </w:r>
    </w:p>
    <w:p w14:paraId="48C0F677">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lang w:val="en-US" w:eastAsia="zh-CN"/>
        </w:rPr>
      </w:pPr>
      <w:r>
        <w:rPr>
          <w:rFonts w:hint="default" w:ascii="方正仿宋_GBK" w:hAnsi="方正仿宋_GBK" w:eastAsia="方正仿宋_GBK" w:cs="方正仿宋_GBK"/>
          <w:color w:val="auto"/>
          <w:sz w:val="32"/>
          <w:szCs w:val="32"/>
          <w:highlight w:val="none"/>
          <w:shd w:val="clear" w:color="auto" w:fill="FFFFFF"/>
          <w:lang w:val="en-US" w:eastAsia="zh-CN"/>
        </w:rPr>
        <w:t>根据预算绩效管理要求，我单位对1个项目开展了绩效自评，涉及财政拨款项目支出资金180万元。</w:t>
      </w:r>
    </w:p>
    <w:p w14:paraId="30DB7FB9">
      <w:pPr>
        <w:pStyle w:val="2"/>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方正楷体_GBK" w:hAnsi="宋体" w:eastAsia="方正楷体_GBK" w:cs="宋体"/>
          <w:color w:val="auto"/>
          <w:kern w:val="0"/>
          <w:sz w:val="32"/>
          <w:szCs w:val="32"/>
          <w:highlight w:val="none"/>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（二）</w:t>
      </w:r>
      <w:r>
        <w:rPr>
          <w:rFonts w:hint="default" w:ascii="方正楷体_GBK" w:hAnsi="方正楷体_GBK" w:eastAsia="方正楷体_GBK" w:cs="方正楷体_GBK"/>
          <w:color w:val="auto"/>
          <w:kern w:val="0"/>
          <w:sz w:val="32"/>
          <w:szCs w:val="32"/>
          <w:highlight w:val="none"/>
          <w:lang w:val="en-US" w:eastAsia="zh-CN" w:bidi="ar"/>
        </w:rPr>
        <w:t>绩效自评结果</w:t>
      </w:r>
    </w:p>
    <w:p w14:paraId="0A132010">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方正仿宋_GBK" w:hAnsi="方正仿宋_GBK" w:eastAsia="方正仿宋_GBK" w:cs="方正仿宋_GBK"/>
          <w:color w:val="auto"/>
          <w:sz w:val="32"/>
          <w:szCs w:val="32"/>
          <w:highlight w:val="none"/>
          <w:shd w:val="clear" w:color="auto" w:fill="FFFFFF"/>
          <w:lang w:val="en-US" w:eastAsia="zh-CN"/>
        </w:rPr>
        <w:t>绩效自评结果详见附件</w:t>
      </w:r>
      <w:r>
        <w:rPr>
          <w:rFonts w:hint="eastAsia" w:ascii="方正仿宋_GBK" w:hAnsi="方正仿宋_GBK" w:eastAsia="方正仿宋_GBK" w:cs="方正仿宋_GBK"/>
          <w:color w:val="auto"/>
          <w:sz w:val="32"/>
          <w:szCs w:val="32"/>
          <w:highlight w:val="none"/>
          <w:shd w:val="clear" w:color="auto" w:fill="FFFFFF"/>
          <w:lang w:val="en-US" w:eastAsia="zh-CN"/>
        </w:rPr>
        <w:t>2024</w:t>
      </w:r>
      <w:r>
        <w:rPr>
          <w:rFonts w:hint="default" w:ascii="方正仿宋_GBK" w:hAnsi="方正仿宋_GBK" w:eastAsia="方正仿宋_GBK" w:cs="方正仿宋_GBK"/>
          <w:color w:val="auto"/>
          <w:sz w:val="32"/>
          <w:szCs w:val="32"/>
          <w:highlight w:val="none"/>
          <w:shd w:val="clear" w:color="auto" w:fill="FFFFFF"/>
          <w:lang w:val="en-US" w:eastAsia="zh-CN"/>
        </w:rPr>
        <w:t>年度绩效自评公开表（《部门整体绩效自评表》、《项目绩效自评结果汇总表》、《项目支出绩效自评表》）。</w:t>
      </w:r>
    </w:p>
    <w:p w14:paraId="7222AE03">
      <w:pPr>
        <w:pStyle w:val="2"/>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b w:val="0"/>
          <w:color w:val="auto"/>
          <w:kern w:val="2"/>
          <w:sz w:val="32"/>
          <w:szCs w:val="32"/>
          <w:highlight w:val="none"/>
          <w:shd w:val="clear" w:color="auto" w:fill="FFFFFF"/>
        </w:rPr>
      </w:pPr>
      <w:r>
        <w:rPr>
          <w:rFonts w:hint="default" w:ascii="方正楷体_GBK" w:hAnsi="方正楷体_GBK" w:eastAsia="方正楷体_GBK" w:cs="方正楷体_GBK"/>
          <w:b w:val="0"/>
          <w:color w:val="auto"/>
          <w:kern w:val="2"/>
          <w:sz w:val="32"/>
          <w:szCs w:val="32"/>
          <w:highlight w:val="none"/>
          <w:shd w:val="clear" w:color="auto" w:fill="FFFFFF"/>
          <w:lang w:val="en-US" w:eastAsia="zh-CN" w:bidi="ar"/>
        </w:rPr>
        <w:t>（三）财政绩效评价情况</w:t>
      </w:r>
    </w:p>
    <w:p w14:paraId="587DB569">
      <w:pPr>
        <w:pStyle w:val="2"/>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lang w:val="en-US" w:eastAsia="zh-CN"/>
        </w:rPr>
      </w:pPr>
      <w:r>
        <w:rPr>
          <w:rFonts w:hint="default" w:ascii="方正仿宋_GBK" w:hAnsi="方正仿宋_GBK" w:eastAsia="方正仿宋_GBK" w:cs="方正仿宋_GBK"/>
          <w:color w:val="auto"/>
          <w:sz w:val="32"/>
          <w:szCs w:val="32"/>
          <w:highlight w:val="none"/>
          <w:shd w:val="clear" w:color="auto" w:fill="FFFFFF"/>
          <w:lang w:val="en-US" w:eastAsia="zh-CN"/>
        </w:rPr>
        <w:t>区财政局未委托第三方对我单位开展绩效评价。</w:t>
      </w:r>
    </w:p>
    <w:p w14:paraId="5D2B6FCF">
      <w:pPr>
        <w:pStyle w:val="8"/>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highlight w:val="none"/>
        </w:rPr>
      </w:pPr>
      <w:r>
        <w:rPr>
          <w:rStyle w:val="9"/>
          <w:rFonts w:hint="eastAsia" w:ascii="方正仿宋_GBK" w:hAnsi="方正仿宋_GBK" w:eastAsia="方正仿宋_GBK" w:cs="方正仿宋_GBK"/>
          <w:b/>
          <w:bCs/>
          <w:color w:val="auto"/>
          <w:sz w:val="32"/>
          <w:szCs w:val="32"/>
          <w:highlight w:val="none"/>
          <w:shd w:val="clear" w:fill="FFFFFF"/>
        </w:rPr>
        <w:t xml:space="preserve"> </w:t>
      </w:r>
      <w:r>
        <w:rPr>
          <w:rStyle w:val="9"/>
          <w:rFonts w:hint="eastAsia" w:ascii="方正仿宋_GBK" w:hAnsi="方正仿宋_GBK" w:eastAsia="方正仿宋_GBK" w:cs="方正仿宋_GBK"/>
          <w:b/>
          <w:bCs/>
          <w:color w:val="auto"/>
          <w:sz w:val="32"/>
          <w:szCs w:val="32"/>
          <w:highlight w:val="none"/>
          <w:shd w:val="clear" w:fill="FFFFFF"/>
          <w:lang w:val="en-US" w:eastAsia="zh-CN"/>
        </w:rPr>
        <w:t xml:space="preserve">  </w:t>
      </w:r>
      <w:r>
        <w:rPr>
          <w:rStyle w:val="5"/>
          <w:rFonts w:hint="eastAsia" w:ascii="黑体" w:hAnsi="黑体" w:eastAsia="黑体" w:cs="黑体"/>
          <w:color w:val="auto"/>
          <w:sz w:val="32"/>
          <w:szCs w:val="32"/>
          <w:highlight w:val="none"/>
          <w:shd w:val="clear" w:color="auto" w:fill="FFFFFF"/>
          <w:lang w:val="en-US" w:eastAsia="zh-CN" w:bidi="ar-SA"/>
        </w:rPr>
        <w:t xml:space="preserve"> 六、专业名词解释</w:t>
      </w:r>
    </w:p>
    <w:p w14:paraId="13E5163D">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highlight w:val="none"/>
          <w:shd w:val="clear" w:fill="FFFFFF"/>
        </w:rPr>
        <w:t>指本年度从本级财政部门取得的财政拨款，包括一般公共预算财政拨款和政府性基金预算财政拨款。</w:t>
      </w:r>
    </w:p>
    <w:p w14:paraId="5989AD66">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19369BE1">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指事业单位在专业业务活动及其辅助活动之外开展非独立核算经营活动取得的现金流入。</w:t>
      </w:r>
    </w:p>
    <w:p w14:paraId="40961353">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ECD64E7">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731A9AEE">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highlight w:val="none"/>
          <w:shd w:val="clear" w:fill="FFFFFF"/>
        </w:rPr>
        <w:t>指单位上年结转本年使用的基本支出结转、项目支出结转和结余、经营结余。</w:t>
      </w:r>
    </w:p>
    <w:p w14:paraId="59C849E7">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highlight w:val="none"/>
          <w:shd w:val="clear" w:fill="FFFFFF"/>
        </w:rPr>
        <w:t>指单位按照国家有关规定，缴纳所得税、提取专用基金、转入非财政拨款结余等当年结余的分配情况。</w:t>
      </w:r>
    </w:p>
    <w:p w14:paraId="768AA121">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highlight w:val="none"/>
          <w:shd w:val="clear" w:fill="FFFFFF"/>
        </w:rPr>
        <w:t>指单位结转下年的基本支出结转、项目支出结转和结余、经营结余。</w:t>
      </w:r>
    </w:p>
    <w:p w14:paraId="0E6A926A">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9F1628">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highlight w:val="none"/>
          <w:shd w:val="clear" w:fill="FFFFFF"/>
        </w:rPr>
        <w:t>指在基本支出之外为完成特定行政任务和事业发展目标所发生的支出。</w:t>
      </w:r>
    </w:p>
    <w:p w14:paraId="161F35D1">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指事业单位在专业业务活动及其辅助活动之外开展非独立核算经营活动发生的支出。</w:t>
      </w:r>
    </w:p>
    <w:p w14:paraId="0F51E785">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ABD85E">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F7B182A">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反映单位开支的在职职工和编制外长期聘用人员的各类劳动报酬，以及为上述人员缴纳的各项社会保险费等。</w:t>
      </w:r>
    </w:p>
    <w:p w14:paraId="4B61857D">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反映单位购买商品和服务的支出（不包括用于购置固定资产的支出、战略性和应急储备支出）。</w:t>
      </w:r>
    </w:p>
    <w:p w14:paraId="4AAD8578">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highlight w:val="none"/>
          <w:shd w:val="clear" w:fill="FFFFFF"/>
        </w:rPr>
        <w:t>反映用于对个人和家庭的补助支出。</w:t>
      </w:r>
    </w:p>
    <w:p w14:paraId="2D253009">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楷体" w:hAnsi="楷体" w:eastAsia="楷体" w:cs="楷体"/>
          <w:color w:val="auto"/>
          <w:sz w:val="32"/>
          <w:szCs w:val="32"/>
          <w:highlight w:val="none"/>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58DA8618">
      <w:pPr>
        <w:pStyle w:val="8"/>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5"/>
          <w:rFonts w:hint="eastAsia" w:ascii="黑体" w:hAnsi="黑体" w:eastAsia="黑体" w:cs="黑体"/>
          <w:color w:val="auto"/>
          <w:sz w:val="32"/>
          <w:szCs w:val="32"/>
          <w:highlight w:val="none"/>
          <w:shd w:val="clear" w:color="auto" w:fill="FFFFFF"/>
          <w:lang w:val="en-US" w:eastAsia="zh-CN" w:bidi="ar-SA"/>
        </w:rPr>
        <w:t>七、决算公开联系方式及信息反馈渠道</w:t>
      </w:r>
    </w:p>
    <w:p w14:paraId="56246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rPr>
        <w:t xml:space="preserve">联系人：庹寒露 </w:t>
      </w:r>
    </w:p>
    <w:p w14:paraId="2B2620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联系电话：023-40330613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D75D6"/>
    <w:rsid w:val="0B2F18A2"/>
    <w:rsid w:val="24657643"/>
    <w:rsid w:val="2F9B2E99"/>
    <w:rsid w:val="321D75D6"/>
    <w:rsid w:val="53D26E53"/>
    <w:rsid w:val="6D3A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 w:type="character" w:styleId="5">
    <w:name w:val="Strong"/>
    <w:qFormat/>
    <w:uiPriority w:val="0"/>
    <w:rPr>
      <w:b/>
    </w:rPr>
  </w:style>
  <w:style w:type="paragraph" w:customStyle="1" w:styleId="6">
    <w:name w:val="列出段落1"/>
    <w:basedOn w:val="1"/>
    <w:qFormat/>
    <w:uiPriority w:val="99"/>
    <w:pPr>
      <w:ind w:firstLine="420" w:firstLineChars="200"/>
    </w:pPr>
    <w:rPr>
      <w:rFonts w:hint="default"/>
    </w:rPr>
  </w:style>
  <w:style w:type="paragraph" w:customStyle="1" w:styleId="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9">
    <w:name w:val="21"/>
    <w:basedOn w:val="4"/>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2025-10-13T01:36:00Z</dcterms:created>
  <dc:creator>Deer</dc:creator>
  <cp:lastModifiedBy>Deer</cp:lastModifiedBy>
  <dcterms:modified xsi:type="dcterms:W3CDTF">2025-10-13T01:51:22Z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4D6E868DAFF241ABAF1243FC64CDC6AD_11</vt:lpwstr>
  </property>
  <property fmtid="{D5CDD505-2E9C-101B-9397-08002B2CF9AE}" pid="4" name="KSOTemplateDocerSaveRecord">
    <vt:lpwstr>eyJoZGlkIjoiNGM0YzRiMDBhYzM1ODMyMmFmMTE3Mjg1MmUxMmI1MmEiLCJ1c2VySWQiOiIzMzEyMzg0OTMifQ==</vt:lpwstr>
  </property>
</Properties>
</file>