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F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重庆市长寿区202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年国民经济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lang w:eastAsia="zh-CN"/>
        </w:rPr>
        <w:t>和</w:t>
      </w: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社会发展</w:t>
      </w:r>
    </w:p>
    <w:p w14:paraId="0D822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highlight w:val="none"/>
        </w:rPr>
        <w:t>统计公报</w:t>
      </w:r>
    </w:p>
    <w:p w14:paraId="7A411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/>
          <w:sz w:val="32"/>
          <w:szCs w:val="32"/>
          <w:highlight w:val="none"/>
        </w:rPr>
      </w:pPr>
    </w:p>
    <w:p w14:paraId="72F77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楷体_GBK"/>
          <w:sz w:val="32"/>
          <w:szCs w:val="32"/>
          <w:highlight w:val="yellow"/>
        </w:rPr>
      </w:pPr>
      <w:r>
        <w:rPr>
          <w:rFonts w:ascii="Times New Roman" w:hAnsi="Times New Roman" w:eastAsia="方正楷体_GBK"/>
          <w:sz w:val="32"/>
          <w:szCs w:val="32"/>
          <w:highlight w:val="none"/>
        </w:rPr>
        <w:t>重庆市长寿区统计局</w:t>
      </w:r>
    </w:p>
    <w:p w14:paraId="460A6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楷体_GBK"/>
          <w:sz w:val="32"/>
          <w:szCs w:val="32"/>
          <w:highlight w:val="yellow"/>
        </w:rPr>
      </w:pPr>
      <w:r>
        <w:rPr>
          <w:rFonts w:hint="eastAsia" w:ascii="Times New Roman" w:hAnsi="Times New Roman" w:eastAsia="方正楷体_GBK"/>
          <w:sz w:val="32"/>
          <w:szCs w:val="32"/>
          <w:highlight w:val="none"/>
          <w:lang w:val="en-US" w:eastAsia="zh-CN"/>
        </w:rPr>
        <w:t>2026年4月22日</w:t>
      </w:r>
    </w:p>
    <w:p w14:paraId="166BB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yellow"/>
        </w:rPr>
      </w:pPr>
    </w:p>
    <w:p w14:paraId="4EE32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年全区上下深入学习贯彻党的二十大和二十届历次全会精神，深化落实习近平总书记视察重庆重要讲话重要指示精神，坚定不移贯彻新发展理念，推动经济高质量发展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全区经济运行保持总体平稳、稳中有进、质效提升的良好态势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 w14:paraId="477E9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一、综合</w:t>
      </w:r>
    </w:p>
    <w:p w14:paraId="02FB2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初步核算，全年地区生产总值按可比价计算，比上年增长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6.9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其中，第一产业增加值增长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3.7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第二产业增加值增长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5.0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第三产业增加值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10.4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按所有制类型分，国有经济增加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值增长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民营经济增加值增长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8.9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外商港澳台经济增加值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增长2.6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 xml:space="preserve">  </w:t>
      </w:r>
    </w:p>
    <w:p w14:paraId="0318C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年末，全区共辖7个街道、12个镇，含2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个行政村、49个社区。年末全区常住人口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万人，城镇化率7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%。年末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户籍人口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84.7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万人，其中，城镇人口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37.2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万人，乡村人口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47.5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万人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</w:t>
      </w:r>
    </w:p>
    <w:p w14:paraId="275C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全年城镇新增就业19407人，城镇登记失业人员再就业7672人，城镇困难人员就业7213人。</w:t>
      </w:r>
    </w:p>
    <w:p w14:paraId="5C85FE45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年末全区共有各类市场主体86493户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增长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%，其中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内资企业17784户、外资企业115户、个体工商户68020户、农民专业合作社574户。新增市场主体11423户，其中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内资企业1609户、外资企业7户、个体工商户9792户、农民专业合作社15户。</w:t>
      </w:r>
    </w:p>
    <w:p w14:paraId="5F39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二、农业</w:t>
      </w:r>
    </w:p>
    <w:p w14:paraId="53FCB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u w:val="none"/>
        </w:rPr>
      </w:pPr>
      <w:r>
        <w:rPr>
          <w:rFonts w:ascii="Times New Roman" w:hAnsi="Times New Roman" w:eastAsia="方正仿宋_GBK"/>
          <w:sz w:val="32"/>
          <w:szCs w:val="32"/>
          <w:u w:val="none"/>
        </w:rPr>
        <w:t>全年农林牧渔业增加值增长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3.8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。全年</w:t>
      </w:r>
      <w:r>
        <w:rPr>
          <w:rFonts w:ascii="Times New Roman" w:hAnsi="Times New Roman" w:eastAsia="方正仿宋_GBK"/>
          <w:sz w:val="32"/>
          <w:szCs w:val="32"/>
          <w:u w:val="none"/>
        </w:rPr>
        <w:t>农业总产值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107.3亿元，</w:t>
      </w:r>
      <w:r>
        <w:rPr>
          <w:rFonts w:ascii="Times New Roman" w:hAnsi="Times New Roman" w:eastAsia="方正仿宋_GBK"/>
          <w:sz w:val="32"/>
          <w:szCs w:val="32"/>
          <w:u w:val="none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1.9</w:t>
      </w:r>
      <w:r>
        <w:rPr>
          <w:rFonts w:ascii="Times New Roman" w:hAnsi="Times New Roman" w:eastAsia="方正仿宋_GBK"/>
          <w:sz w:val="32"/>
          <w:szCs w:val="32"/>
          <w:u w:val="none"/>
        </w:rPr>
        <w:t>%。粮食播种面积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91.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  <w:u w:val="none"/>
        </w:rPr>
        <w:t>万亩，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33.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万吨；谷物播种面积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52.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26.2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万吨；豆类播种面积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16.7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万吨；折粮薯类播种面积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21.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5.3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万吨；蔬菜及食用菌播种面积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23.1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43.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万吨；瓜果类播种面积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1.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万吨；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园林水果播种面积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23.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8万亩，产量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24.5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万吨；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油菜籽播种面积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10.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万亩，产量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1.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万吨。</w:t>
      </w:r>
    </w:p>
    <w:p w14:paraId="01BB1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全年生猪出栏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52.3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万头，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全年猪肉产量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4.6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3.8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%；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年末生猪存栏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30.2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万头，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；全年牛出栏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0.38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4.1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%；年末牛存栏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0.6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万头，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29.5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%；全年家禽出栏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1092.8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万只，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2.6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%；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</w:rPr>
        <w:t>全年禽肉产量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1.8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</w:rPr>
        <w:t>万吨，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  <w:lang w:val="en-US" w:eastAsia="zh-CN"/>
        </w:rPr>
        <w:t>5.5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u w:val="none"/>
        </w:rPr>
        <w:t>%；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全年禽蛋产量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8.7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12.7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%。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水产品产量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5.3万吨，增长5.2%。</w:t>
      </w:r>
    </w:p>
    <w:p w14:paraId="7AE14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三、工业和建筑业</w:t>
      </w:r>
    </w:p>
    <w:p w14:paraId="01ED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全年</w:t>
      </w:r>
      <w:r>
        <w:rPr>
          <w:rFonts w:ascii="Times New Roman" w:hAnsi="Times New Roman" w:eastAsia="方正仿宋_GBK"/>
          <w:sz w:val="32"/>
          <w:szCs w:val="32"/>
          <w:u w:val="none"/>
        </w:rPr>
        <w:t>工业增加值增长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6.1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，其中，规上工业增加值增长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6.4%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。全区规上工业企业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320户，</w:t>
      </w:r>
      <w:r>
        <w:rPr>
          <w:rFonts w:ascii="Times New Roman" w:hAnsi="Times New Roman" w:eastAsia="方正仿宋_GBK"/>
          <w:sz w:val="32"/>
          <w:szCs w:val="32"/>
          <w:u w:val="none"/>
        </w:rPr>
        <w:t>规上工业总产值增长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2.3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。从行业看，</w:t>
      </w:r>
      <w:r>
        <w:rPr>
          <w:rFonts w:ascii="Times New Roman" w:hAnsi="Times New Roman" w:eastAsia="方正仿宋_GBK"/>
          <w:sz w:val="32"/>
          <w:szCs w:val="32"/>
          <w:u w:val="none"/>
        </w:rPr>
        <w:t>钢铁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产业产值下降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2.3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；</w:t>
      </w:r>
      <w:r>
        <w:rPr>
          <w:rFonts w:ascii="Times New Roman" w:hAnsi="Times New Roman" w:eastAsia="方正仿宋_GBK"/>
          <w:sz w:val="32"/>
          <w:szCs w:val="32"/>
          <w:u w:val="none"/>
        </w:rPr>
        <w:t>化工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产业产值</w:t>
      </w:r>
      <w:r>
        <w:rPr>
          <w:rFonts w:ascii="Times New Roman" w:hAnsi="Times New Roman" w:eastAsia="方正仿宋_GBK"/>
          <w:sz w:val="32"/>
          <w:szCs w:val="32"/>
          <w:u w:val="none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0.8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；汽车制造业产值</w:t>
      </w:r>
      <w:r>
        <w:rPr>
          <w:rFonts w:ascii="Times New Roman" w:hAnsi="Times New Roman" w:eastAsia="方正仿宋_GBK"/>
          <w:sz w:val="32"/>
          <w:szCs w:val="32"/>
          <w:u w:val="none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10.3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；</w:t>
      </w:r>
      <w:r>
        <w:rPr>
          <w:rFonts w:ascii="Times New Roman" w:hAnsi="Times New Roman" w:eastAsia="方正仿宋_GBK"/>
          <w:sz w:val="32"/>
          <w:szCs w:val="32"/>
          <w:u w:val="none"/>
        </w:rPr>
        <w:t>医药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产业产值下降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5.3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高技术产业产值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；规上</w:t>
      </w:r>
      <w:r>
        <w:rPr>
          <w:rFonts w:ascii="Times New Roman" w:hAnsi="Times New Roman" w:eastAsia="方正仿宋_GBK"/>
          <w:sz w:val="32"/>
          <w:szCs w:val="32"/>
          <w:u w:val="none"/>
        </w:rPr>
        <w:t>战略性新兴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制造业</w:t>
      </w:r>
      <w:r>
        <w:rPr>
          <w:rFonts w:ascii="Times New Roman" w:hAnsi="Times New Roman" w:eastAsia="方正仿宋_GBK"/>
          <w:sz w:val="32"/>
          <w:szCs w:val="32"/>
          <w:u w:val="none"/>
        </w:rPr>
        <w:t>总产值增长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4.8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；食品及农产品加工产值增长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4.0%。</w:t>
      </w:r>
    </w:p>
    <w:p w14:paraId="7512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全年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生铁产量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623.6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7.9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%；粗钢产量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794.0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4.1%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；钢材产量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877.5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%；精甲醇产量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145.6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2.8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%；合成氨产量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18.1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6.8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</w:t>
      </w:r>
      <w:r>
        <w:rPr>
          <w:rFonts w:ascii="Times New Roman" w:hAnsi="Times New Roman" w:eastAsia="方正仿宋_GBK"/>
          <w:sz w:val="32"/>
          <w:szCs w:val="32"/>
          <w:u w:val="none"/>
        </w:rPr>
        <w:t>冰醋酸产量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46.7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0.4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%；合成纤维聚合物产量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万吨，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64.2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%；轮胎产量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260.2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万条，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36.8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%；发动机产量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6772.0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万千瓦，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19.3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%；家具产量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127.0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万件，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15.5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%；变压器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1078.3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万千伏安，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16.3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%；印制电路板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7.0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万平方米，增长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0.6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%。</w:t>
      </w:r>
    </w:p>
    <w:p w14:paraId="43B33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u w:val="none"/>
        </w:rPr>
      </w:pPr>
      <w:r>
        <w:rPr>
          <w:rFonts w:ascii="Times New Roman" w:hAnsi="Times New Roman" w:eastAsia="方正仿宋_GBK"/>
          <w:sz w:val="32"/>
          <w:szCs w:val="32"/>
          <w:u w:val="none"/>
        </w:rPr>
        <w:t>全年建筑业增加值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3.0</w:t>
      </w:r>
      <w:r>
        <w:rPr>
          <w:rFonts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。全区总承包和专业承包建筑业企业总产值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</w:rPr>
        <w:t>下降16.6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。</w:t>
      </w:r>
    </w:p>
    <w:p w14:paraId="2AD48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四、服务业</w:t>
      </w:r>
    </w:p>
    <w:p w14:paraId="0B8FA1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>全年批发和零售业增加值下降4.2%；交通运输、仓储和邮政业增加值增长3.0%；住宿和餐饮业增加值增长6.2%。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全年规上服务业营业收入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64.7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亿元，增长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8.8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%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</w:p>
    <w:p w14:paraId="1084AB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全年公路运输客运量783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万人次，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5.1%；公路运输旅客周转量36208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万人公里，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10.5%；公路运输货运量10796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万吨，增长5.2%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公路运输货物周转量82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.4亿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吨公里，增长3.7%。全年水路运输客运量4.8万人次，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7.6%；水路运输旅客周转量87.1万人公里，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%；水路运输货运量410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万吨，增长14.1%；水路运输货物周转量84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.0亿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吨公里，增长15.6%。</w:t>
      </w:r>
    </w:p>
    <w:p w14:paraId="12EBBF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年末全区公路总里程3825.2公里，其中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高速公路10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8.0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公里，国道195.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公里，省道142.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公里，农村公路3379.4公里。</w:t>
      </w:r>
    </w:p>
    <w:p w14:paraId="0105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年末全区机动车保有量为253546辆，增长1.1%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其中，载客汽车160662辆，载货汽车20487辆，摩托车68666辆，新能源汽车21360辆，其他机动车2862辆。新能源公交车拥有量288台，其中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纯电动公交车拥有量277台，压缩天然气公交车拥有量11台。</w:t>
      </w:r>
    </w:p>
    <w:p w14:paraId="6911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五、国内贸易</w:t>
      </w:r>
    </w:p>
    <w:p w14:paraId="626E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全年社会消费品零售总额318.4亿元，增长3.1%。在限额以上单位中，网上零售额增长4.1%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粮油、食品类商品零售额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1.4%，建筑及装潢材料类增长28.7%，文化办公用品类增长28.8%，家用电器和音响器材类增长11.2%。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批发和零售业销售额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1129.7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下降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%；住宿和餐饮业营业额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亿元，增长8.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%。</w:t>
      </w:r>
    </w:p>
    <w:p w14:paraId="17D90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六、固定资产投资和房地产</w:t>
      </w:r>
    </w:p>
    <w:p w14:paraId="5D8C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</w:rPr>
        <w:t>全年固定资产投资总额比上年增长</w:t>
      </w:r>
      <w:r>
        <w:rPr>
          <w:rFonts w:ascii="Times New Roman" w:hAnsi="Times New Roman" w:eastAsia="方正仿宋_GBK"/>
          <w:sz w:val="32"/>
          <w:szCs w:val="32"/>
          <w:u w:val="none"/>
        </w:rPr>
        <w:t>5.1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其中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工业投资</w:t>
      </w:r>
      <w:r>
        <w:rPr>
          <w:rFonts w:ascii="Times New Roman" w:hAnsi="Times New Roman" w:eastAsia="方正仿宋_GBK"/>
          <w:sz w:val="32"/>
          <w:szCs w:val="32"/>
          <w:u w:val="none"/>
        </w:rPr>
        <w:t>增长1.2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%，基础设施投资增长</w:t>
      </w:r>
      <w:r>
        <w:rPr>
          <w:rFonts w:ascii="Times New Roman" w:hAnsi="Times New Roman" w:eastAsia="方正仿宋_GBK"/>
          <w:sz w:val="32"/>
          <w:szCs w:val="32"/>
          <w:u w:val="none"/>
        </w:rPr>
        <w:t>5.6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%，民间投资（不含房地产）</w:t>
      </w:r>
      <w:r>
        <w:rPr>
          <w:rFonts w:ascii="Times New Roman" w:hAnsi="Times New Roman" w:eastAsia="方正仿宋_GBK"/>
          <w:sz w:val="32"/>
          <w:szCs w:val="32"/>
          <w:u w:val="none"/>
        </w:rPr>
        <w:t>增长0.6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%，房地产开发投资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下降</w:t>
      </w:r>
      <w:r>
        <w:rPr>
          <w:rFonts w:ascii="Times New Roman" w:hAnsi="Times New Roman" w:eastAsia="方正仿宋_GBK"/>
          <w:sz w:val="32"/>
          <w:szCs w:val="32"/>
          <w:u w:val="none"/>
        </w:rPr>
        <w:t>29.4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%。</w:t>
      </w:r>
    </w:p>
    <w:p w14:paraId="3DAD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-CN"/>
        </w:rPr>
        <w:t>全年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房地产施工面积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133.9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万平方米，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"/>
          <w:woUserID w:val="1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9.5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%；房地产新开工面积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14.9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万平方米，</w:t>
      </w:r>
      <w:r>
        <w:rPr>
          <w:rFonts w:hint="default" w:ascii="Times New Roman" w:hAnsi="Times New Roman" w:eastAsia="方正仿宋_GBK"/>
          <w:sz w:val="32"/>
          <w:szCs w:val="32"/>
          <w:u w:val="none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379.7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%；房地产竣工面积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15.9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万平方米，</w:t>
      </w:r>
      <w:r>
        <w:rPr>
          <w:rFonts w:hint="default" w:ascii="Times New Roman" w:hAnsi="Times New Roman" w:eastAsia="方正仿宋_GBK"/>
          <w:sz w:val="32"/>
          <w:szCs w:val="32"/>
          <w:u w:val="none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463.8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%；商品房销售面积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20.6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万平方米，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"/>
          <w:woUserID w:val="1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val="en-US" w:eastAsia="zh"/>
          <w:woUserID w:val="1"/>
        </w:rPr>
        <w:t>17.4</w:t>
      </w:r>
      <w:r>
        <w:rPr>
          <w:rFonts w:hint="eastAsia" w:ascii="Times New Roman" w:hAnsi="Times New Roman" w:eastAsia="方正仿宋_GBK"/>
          <w:sz w:val="32"/>
          <w:szCs w:val="32"/>
          <w:u w:val="none"/>
        </w:rPr>
        <w:t>%。</w:t>
      </w:r>
    </w:p>
    <w:p w14:paraId="5ED86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七、对外经济</w:t>
      </w:r>
    </w:p>
    <w:p w14:paraId="0355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全年外贸进出口总额91.7亿元，增长0.7%；实际使用外资2171万美元，增长62.5%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。全年共引进招商引资项目402个，引资额570.0亿元，其中，工业项目引资额466.0亿元，战新产业引资额318.7亿元。招商引资项目中，引进五十亿元级项目1个，十亿元级项目16个，亿元级项目92个。</w:t>
      </w:r>
    </w:p>
    <w:p w14:paraId="7A831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八、财政金融</w:t>
      </w:r>
    </w:p>
    <w:p w14:paraId="5C5C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FF0000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一般公共预算收入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55.0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增长5.5%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税收收入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26.5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增长0.3%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一般公共预算支出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103.7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11.7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其中，一般公共服务支出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5.9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增长8.9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%；教育支出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16.1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%；社会保障和就业支出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13.3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增长2.4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%；卫生健康支出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7.2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增长5.5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%；城乡社区支出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30.8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增长60.6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</w:t>
      </w:r>
    </w:p>
    <w:p w14:paraId="48A0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方正仿宋_GBK"/>
          <w:sz w:val="32"/>
          <w:szCs w:val="32"/>
          <w:highlight w:val="none"/>
        </w:rPr>
        <w:t>年末，金融机构本外币存款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986.2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10.7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住户存款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803.6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%；非金融企业存款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120.3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增长18.5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%；广义政府存款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61.8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12.0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%。金融机构本外币贷款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868.1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18.4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住户贷款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182.8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%；中长期贷款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140.3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增长3.9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%；非金融企业及机关团体贷款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685.3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25.2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</w:t>
      </w:r>
    </w:p>
    <w:p w14:paraId="2AE5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九、居民收入消费和社会保障</w:t>
      </w:r>
    </w:p>
    <w:p w14:paraId="229971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全区居民人均可支配收入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43115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4.5%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。按常住地分，城镇居民人均可支配收入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50293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4.2%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；农村居民人均可支配收入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24612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5.4%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。</w:t>
      </w:r>
    </w:p>
    <w:p w14:paraId="3BABD5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全区居民人均消费支出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31539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3.9%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。按常住地分，城镇居民人均消费支出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36736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3.7%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；农村居民人均消费支出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18140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元，增长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4.1%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。全区居民恩格尔系数为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31.4%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，比上年下降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0.05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个百分点，其中，城镇为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30.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，农村为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34.4%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"/>
        </w:rPr>
        <w:t>。</w:t>
      </w:r>
    </w:p>
    <w:p w14:paraId="73EBA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年末企业职工、机关事业单位养老保险参保人数36.4万人，工伤保险参保人数14.3万人，城乡居民养老保险参保人数31.9万人。</w:t>
      </w:r>
    </w:p>
    <w:p w14:paraId="5212C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十、科学技术与教育</w:t>
      </w:r>
    </w:p>
    <w:p w14:paraId="7663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none"/>
          <w:lang w:val="en-US" w:eastAsia="zh-CN" w:bidi="ar"/>
        </w:rPr>
        <w:t>全区拥有科研机构数191个，科技成果登记100件，完成技术合同认定登记274项；新增科技型企业200家、市级企业技术中心1个；累计培育科技型企业1481家、高新技术企业310家、市级研发机构102家。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2025年度新增专利授权948件，其中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发明专利授权186件；万人发明专利拥有量为25.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"/>
        </w:rPr>
        <w:t>件，有效发明专利1756件。</w:t>
      </w:r>
    </w:p>
    <w:p w14:paraId="76ED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年末全区有各级各类教育机构157所（含重庆化工职业学院、重庆工信职业学院、民办学校）、教职工8854人，在校学生101466人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教育机构152所，教职工7375人，在校学生71859人；职业教育机构（含重庆化工职业学院、重庆工信职业学院）5所，教职工1479人，在校学生29607人。基础教育中，学前教育机构86所，教职工1650人，在校学生10739人。</w:t>
      </w:r>
    </w:p>
    <w:p w14:paraId="3114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  <w:lang w:eastAsia="zh-CN"/>
        </w:rPr>
        <w:t>十一、</w:t>
      </w:r>
      <w:r>
        <w:rPr>
          <w:rFonts w:ascii="Times New Roman" w:hAnsi="Times New Roman" w:eastAsia="方正黑体_GBK"/>
          <w:sz w:val="32"/>
          <w:szCs w:val="32"/>
          <w:highlight w:val="none"/>
        </w:rPr>
        <w:t>文化旅游、卫生健康和体育</w:t>
      </w:r>
    </w:p>
    <w:p w14:paraId="4C5FD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全区文化及相关产业增加值增长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9.2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%。全区共有博物馆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2个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，文化馆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个，公共图书馆1个。广播覆盖率和电视综合覆盖率达到100%。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全区共有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市级非遗项目12项、区级非遗项目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95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项。市级非遗传承人8名、区级非遗传承人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名。市级文物保护单位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处、市级革命文物8处、区级文物保护单位3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处。馆藏国有可移动文物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1289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件（套），其中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国家二级文物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件、三级文物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160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。</w:t>
      </w:r>
    </w:p>
    <w:p w14:paraId="0BE3E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全区旅游及相关产业增加值增长8.1%。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全年接待游客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lang w:val="en-US" w:eastAsia="zh"/>
        </w:rPr>
        <w:t>2172.5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万人次，增长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25.0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%；旅游接待收入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161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亿元，增长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27.0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%。</w:t>
      </w:r>
    </w:p>
    <w:p w14:paraId="215A46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年末全区共有国家4A级景区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。菩提古镇文化旅游休闲街区获评第四批市级旅游休闲街区。“月满山湖·智焰流光——重庆天空剧院科技烟花嘉年华”获评2025年国庆中秋假期文旅活动十佳案例。创排2个优秀节目参评第二十届群星奖，其中，相声《第十次》入围群星奖终评（国家级二等奖）、四川谐剧《非诚勿扰》荣获群星奖，实现长寿区群星奖零的突破。</w:t>
      </w:r>
    </w:p>
    <w:p w14:paraId="0AF80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年末全区共有医疗机构490家，其中，公立医院4所（三甲医院1所，三级医院1所，二级医院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所），社区卫生服务中心6所，镇卫生院12所，村卫生室196个。全区拥有医院病床位总数4340张，每千人口编制床位数6.3张，注册执业（助理）医师2254人，注册护士2537人，每千人口执业（助理）医师3.0人，每千人注册护士3.2人，每万人口全科医师人数达到4.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。</w:t>
      </w:r>
    </w:p>
    <w:p w14:paraId="4FABB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年末全区共有体育场地3844个，体育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场地面积2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万平方米，人均体育场地面积3.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平方米。2025年，在国际级赛事中斩获9金1铜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国家级赛事获得1金2铜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市级赛事斩获42金61银72铜。承办第三届“一带一路”田径邀请赛暨2025年全国田径大奖赛（第3站）、2025年重庆国际铁人三项赛（亚洲杯）、2025年中国中学生皮划艇锦标赛、2025重庆城市足球超级联赛（长寿赛区）、重庆市青少年田径锦标赛、重庆市第十四届全民健身运动会登山比赛、长寿湖半程马拉松等体育赛事活动。</w:t>
      </w:r>
    </w:p>
    <w:p w14:paraId="03BE9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十二、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资源、环境和应急管理</w:t>
      </w:r>
    </w:p>
    <w:p w14:paraId="5DCC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全年规上工业能源消耗总量1024.4万吨标准煤，增长1.5%，其中，规上工业用煤764.1万吨，下降1.2%；规上工业用天然气25.1亿立方米，增长2.0%；规上工业用热力2543.5万百万千焦，增长2.8%；规上工业用电92.4亿度，增长1.4%</w:t>
      </w:r>
      <w:r>
        <w:rPr>
          <w:rFonts w:ascii="Times New Roman" w:hAnsi="Times New Roman" w:eastAsia="方正仿宋_GBK"/>
          <w:sz w:val="32"/>
          <w:szCs w:val="32"/>
          <w:highlight w:val="none"/>
        </w:rPr>
        <w:t>。</w:t>
      </w:r>
    </w:p>
    <w:p w14:paraId="4A497D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全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年降水量969.4毫米，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空气质量优良天数达315天。长江长寿段水质保持Ⅱ类，龙溪河、御临河监测断面水质稳定保持Ⅲ类。危险废物、医疗废物规范处置率均达到100%。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废弃矿山生态修复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47.5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公顷，治理水土流失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223.3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公顷。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推进“两岸青山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·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千里林带”建设，完成营造林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万亩，森林覆盖率达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50%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418C8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highlight w:val="none"/>
          <w:lang w:val="en-US" w:eastAsia="zh-CN" w:bidi="ar"/>
        </w:rPr>
        <w:t>全年安全生产事故数13起，下降7.1%；安全生产事故死亡人数13人，下降13.3%。</w:t>
      </w:r>
    </w:p>
    <w:p w14:paraId="07E850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" w:cs="楷体"/>
          <w:b/>
          <w:color w:val="333333"/>
          <w:sz w:val="24"/>
          <w:szCs w:val="24"/>
          <w:highlight w:val="yellow"/>
          <w:shd w:val="clear" w:color="auto" w:fill="FFFFFF"/>
        </w:rPr>
      </w:pPr>
    </w:p>
    <w:p w14:paraId="4A71A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楷体" w:cs="楷体"/>
          <w:b/>
          <w:color w:val="333333"/>
          <w:sz w:val="24"/>
          <w:szCs w:val="24"/>
          <w:highlight w:val="yellow"/>
          <w:shd w:val="clear" w:color="auto" w:fill="FFFFFF"/>
        </w:rPr>
      </w:pPr>
    </w:p>
    <w:p w14:paraId="10E8D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</w:pPr>
      <w:r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  <w:t xml:space="preserve">    </w:t>
      </w:r>
    </w:p>
    <w:p w14:paraId="6FC58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</w:pPr>
    </w:p>
    <w:p w14:paraId="4C0E1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</w:pPr>
    </w:p>
    <w:p w14:paraId="3C7B6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</w:pPr>
    </w:p>
    <w:p w14:paraId="33C9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Style w:val="8"/>
          <w:rFonts w:ascii="Times New Roman" w:hAnsi="Times New Roman" w:eastAsia="方正仿宋_GBK"/>
          <w:color w:val="000000"/>
          <w:sz w:val="32"/>
          <w:highlight w:val="none"/>
        </w:rPr>
      </w:pPr>
      <w:r>
        <w:rPr>
          <w:rStyle w:val="8"/>
          <w:rFonts w:hint="eastAsia" w:ascii="Times New Roman" w:hAnsi="Times New Roman" w:eastAsia="黑体" w:cs="黑体"/>
          <w:color w:val="000000"/>
          <w:sz w:val="32"/>
          <w:highlight w:val="none"/>
        </w:rPr>
        <w:t>注释：</w:t>
      </w:r>
    </w:p>
    <w:p w14:paraId="4D484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ascii="Times New Roman" w:hAnsi="Times New Roman" w:eastAsia="方正仿宋_GBK"/>
          <w:color w:val="000000"/>
          <w:sz w:val="32"/>
          <w:highlight w:val="none"/>
        </w:rPr>
      </w:pPr>
      <w:r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  <w:t xml:space="preserve">    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  <w:t>[1]本公报中数据均为初步统计数。部分数据因四舍五入的原因，存在总计与分项合计不等的情况。</w:t>
      </w:r>
    </w:p>
    <w:p w14:paraId="3ADD5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Style w:val="8"/>
          <w:rFonts w:ascii="Times New Roman" w:hAnsi="Times New Roman" w:eastAsia="方正楷体_GBK" w:cs="方正楷体_GBK"/>
          <w:color w:val="000000"/>
          <w:sz w:val="28"/>
          <w:szCs w:val="28"/>
          <w:highlight w:val="none"/>
        </w:rPr>
      </w:pPr>
      <w:r>
        <w:rPr>
          <w:rStyle w:val="8"/>
          <w:rFonts w:hint="eastAsia" w:ascii="Times New Roman" w:hAnsi="Times New Roman" w:eastAsia="方正仿宋_GBK"/>
          <w:color w:val="000000"/>
          <w:sz w:val="32"/>
          <w:highlight w:val="none"/>
        </w:rPr>
        <w:t xml:space="preserve">    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  <w:t>[2]</w:t>
      </w:r>
      <w:r>
        <w:rPr>
          <w:rStyle w:val="8"/>
          <w:rFonts w:ascii="Times New Roman" w:hAnsi="Times New Roman" w:eastAsia="方正楷体_GBK" w:cs="方正楷体_GBK"/>
          <w:color w:val="000000"/>
          <w:sz w:val="28"/>
          <w:szCs w:val="28"/>
          <w:highlight w:val="none"/>
        </w:rPr>
        <w:t>地区生产总值、三次产业及相关行业增加值、人均地区生产总值绝对量按现价计算，增长速度按可比价计算。</w:t>
      </w:r>
    </w:p>
    <w:p w14:paraId="09E1E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Style w:val="8"/>
          <w:rFonts w:ascii="Times New Roman" w:hAnsi="Times New Roman" w:eastAsia="方正仿宋_GBK"/>
          <w:color w:val="000000"/>
          <w:sz w:val="32"/>
          <w:highlight w:val="yellow"/>
        </w:rPr>
      </w:pPr>
    </w:p>
    <w:p w14:paraId="62952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Style w:val="8"/>
          <w:rFonts w:ascii="Times New Roman" w:hAnsi="Times New Roman" w:eastAsia="黑体" w:cs="黑体"/>
          <w:color w:val="000000"/>
          <w:sz w:val="32"/>
          <w:highlight w:val="none"/>
        </w:rPr>
      </w:pPr>
      <w:r>
        <w:rPr>
          <w:rStyle w:val="8"/>
          <w:rFonts w:hint="eastAsia" w:ascii="Times New Roman" w:hAnsi="Times New Roman" w:eastAsia="黑体" w:cs="黑体"/>
          <w:color w:val="000000"/>
          <w:sz w:val="32"/>
          <w:highlight w:val="none"/>
        </w:rPr>
        <w:t>资料来源：</w:t>
      </w:r>
    </w:p>
    <w:p w14:paraId="2EE85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2" w:firstLineChars="200"/>
        <w:textAlignment w:val="auto"/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</w:pP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  <w:t>部门排序以</w:t>
      </w:r>
      <w:r>
        <w:rPr>
          <w:rStyle w:val="8"/>
          <w:rFonts w:hint="default" w:ascii="Times New Roman" w:hAnsi="Times New Roman" w:eastAsia="方正楷体_GBK" w:cs="方正楷体_GBK"/>
          <w:color w:val="000000"/>
          <w:sz w:val="28"/>
          <w:szCs w:val="28"/>
          <w:highlight w:val="none"/>
        </w:rPr>
        <w:t>文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  <w:t>中数据为序：户籍人口数据来自区公安局；城镇新增就业、社会保障数据来自区人力社保局；市场主体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  <w:lang w:eastAsia="zh-CN"/>
        </w:rPr>
        <w:t>、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  <w:lang w:val="en-US" w:eastAsia="zh-CN"/>
        </w:rPr>
        <w:t>专利</w:t>
      </w:r>
      <w:r>
        <w:rPr>
          <w:rStyle w:val="8"/>
          <w:rFonts w:hint="eastAsia" w:ascii="Times New Roman" w:hAnsi="Times New Roman" w:eastAsia="方正楷体_GBK" w:cs="方正楷体_GBK"/>
          <w:color w:val="000000"/>
          <w:sz w:val="28"/>
          <w:szCs w:val="28"/>
          <w:highlight w:val="none"/>
        </w:rPr>
        <w:t>数据来自区市场监管局；交通数据来自区交通局；外贸进出口数据来自区商务委；招商引资数据来自区招商局；科技数据来自区科技局；教育数据来自区教委；文化、旅游、体育数据来自区文旅委；医疗卫生数据来自区卫健委；气象数据来自区气象局；空气、水质、废物规范处置率数据来自区生态环境局；矿山修复、水土流失治理数据来自区规资局；造林、森林覆盖率数据来自区林业局；安全生产事故数据来自区应急局。其他数据来自区统计局。</w:t>
      </w:r>
    </w:p>
    <w:p w14:paraId="160F0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yellow"/>
          <w:lang w:val="en-US" w:eastAsia="zh-CN" w:bidi="ar"/>
        </w:rPr>
      </w:pPr>
    </w:p>
    <w:p w14:paraId="0390AF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 w:firstLineChars="200"/>
        <w:jc w:val="both"/>
        <w:textAlignment w:val="auto"/>
      </w:pPr>
    </w:p>
    <w:p w14:paraId="149F1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71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9EAE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9EAE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03A91"/>
    <w:rsid w:val="004F1218"/>
    <w:rsid w:val="00D70859"/>
    <w:rsid w:val="061C2C9C"/>
    <w:rsid w:val="067D77AC"/>
    <w:rsid w:val="06D51397"/>
    <w:rsid w:val="075449B1"/>
    <w:rsid w:val="08633073"/>
    <w:rsid w:val="09DF4126"/>
    <w:rsid w:val="0BC9324D"/>
    <w:rsid w:val="0C743400"/>
    <w:rsid w:val="0CF53EC6"/>
    <w:rsid w:val="0DB24C85"/>
    <w:rsid w:val="0ED10695"/>
    <w:rsid w:val="0F87169C"/>
    <w:rsid w:val="0FB3423F"/>
    <w:rsid w:val="108F6A5A"/>
    <w:rsid w:val="12883761"/>
    <w:rsid w:val="12D30A20"/>
    <w:rsid w:val="14213E6D"/>
    <w:rsid w:val="149C34F4"/>
    <w:rsid w:val="14BB38D2"/>
    <w:rsid w:val="163F4A7E"/>
    <w:rsid w:val="199944A6"/>
    <w:rsid w:val="1A1E30A1"/>
    <w:rsid w:val="1B73527D"/>
    <w:rsid w:val="1C403A91"/>
    <w:rsid w:val="1D4F1A4B"/>
    <w:rsid w:val="1D660B43"/>
    <w:rsid w:val="1E1660C5"/>
    <w:rsid w:val="209634ED"/>
    <w:rsid w:val="21CD2F3E"/>
    <w:rsid w:val="222A3A99"/>
    <w:rsid w:val="22B86F2D"/>
    <w:rsid w:val="23B75C54"/>
    <w:rsid w:val="24C06D8A"/>
    <w:rsid w:val="25C97EC1"/>
    <w:rsid w:val="25F660D7"/>
    <w:rsid w:val="26751DF6"/>
    <w:rsid w:val="28137B19"/>
    <w:rsid w:val="28C67535"/>
    <w:rsid w:val="29891E41"/>
    <w:rsid w:val="2A7B6309"/>
    <w:rsid w:val="2A9D2E5D"/>
    <w:rsid w:val="2BE75544"/>
    <w:rsid w:val="2D986AF6"/>
    <w:rsid w:val="2D9E60D7"/>
    <w:rsid w:val="2DDB2E87"/>
    <w:rsid w:val="2DE24215"/>
    <w:rsid w:val="2E083AD2"/>
    <w:rsid w:val="2F2775EF"/>
    <w:rsid w:val="2F816A1B"/>
    <w:rsid w:val="2FF67B04"/>
    <w:rsid w:val="30F73B34"/>
    <w:rsid w:val="32382656"/>
    <w:rsid w:val="334E34B9"/>
    <w:rsid w:val="34490C43"/>
    <w:rsid w:val="357F234A"/>
    <w:rsid w:val="35A87AF3"/>
    <w:rsid w:val="363D46DF"/>
    <w:rsid w:val="36BD5CE8"/>
    <w:rsid w:val="379C3687"/>
    <w:rsid w:val="37D44D9C"/>
    <w:rsid w:val="38E057F5"/>
    <w:rsid w:val="3AAC1E33"/>
    <w:rsid w:val="3ACB0053"/>
    <w:rsid w:val="3CE37662"/>
    <w:rsid w:val="3F676329"/>
    <w:rsid w:val="3F80388E"/>
    <w:rsid w:val="3F9B2476"/>
    <w:rsid w:val="3FA532F5"/>
    <w:rsid w:val="40360565"/>
    <w:rsid w:val="419B1D74"/>
    <w:rsid w:val="43E97A05"/>
    <w:rsid w:val="470C3AC9"/>
    <w:rsid w:val="484B038C"/>
    <w:rsid w:val="4859200E"/>
    <w:rsid w:val="48DF050C"/>
    <w:rsid w:val="48FA7FCF"/>
    <w:rsid w:val="4A2701FF"/>
    <w:rsid w:val="4AC40AD3"/>
    <w:rsid w:val="4AD96B2E"/>
    <w:rsid w:val="4DC86B2C"/>
    <w:rsid w:val="4E994025"/>
    <w:rsid w:val="4EF43951"/>
    <w:rsid w:val="4EFF5B7A"/>
    <w:rsid w:val="4F6463E1"/>
    <w:rsid w:val="4F7505EE"/>
    <w:rsid w:val="50373AAF"/>
    <w:rsid w:val="51A60F32"/>
    <w:rsid w:val="52483D98"/>
    <w:rsid w:val="529F5982"/>
    <w:rsid w:val="53AD47DF"/>
    <w:rsid w:val="53E53868"/>
    <w:rsid w:val="54E81862"/>
    <w:rsid w:val="55DD513F"/>
    <w:rsid w:val="56D14BCD"/>
    <w:rsid w:val="57E5652D"/>
    <w:rsid w:val="57F329F7"/>
    <w:rsid w:val="58515970"/>
    <w:rsid w:val="59417793"/>
    <w:rsid w:val="59B36F7F"/>
    <w:rsid w:val="5B285B9D"/>
    <w:rsid w:val="5C2238AB"/>
    <w:rsid w:val="5D0C13A8"/>
    <w:rsid w:val="5D63417B"/>
    <w:rsid w:val="5E7423B8"/>
    <w:rsid w:val="5E82352B"/>
    <w:rsid w:val="5E987B01"/>
    <w:rsid w:val="5EB32EE1"/>
    <w:rsid w:val="5EDE0D40"/>
    <w:rsid w:val="5F41287E"/>
    <w:rsid w:val="5F622211"/>
    <w:rsid w:val="5FB213EA"/>
    <w:rsid w:val="6186668A"/>
    <w:rsid w:val="63FE4BFE"/>
    <w:rsid w:val="63FF0976"/>
    <w:rsid w:val="689A0C6D"/>
    <w:rsid w:val="68ED6FEF"/>
    <w:rsid w:val="69E06B54"/>
    <w:rsid w:val="6B570EC0"/>
    <w:rsid w:val="6CB7655C"/>
    <w:rsid w:val="6D176D30"/>
    <w:rsid w:val="70CD350D"/>
    <w:rsid w:val="70D1286C"/>
    <w:rsid w:val="72176BCD"/>
    <w:rsid w:val="72C2329A"/>
    <w:rsid w:val="73025EB3"/>
    <w:rsid w:val="7349576A"/>
    <w:rsid w:val="73F13E37"/>
    <w:rsid w:val="74972475"/>
    <w:rsid w:val="751629B8"/>
    <w:rsid w:val="75774810"/>
    <w:rsid w:val="76522B87"/>
    <w:rsid w:val="76607052"/>
    <w:rsid w:val="76C1417F"/>
    <w:rsid w:val="79181E66"/>
    <w:rsid w:val="7DB00CFC"/>
    <w:rsid w:val="7DB163E5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unhideWhenUsed/>
    <w:qFormat/>
    <w:uiPriority w:val="99"/>
    <w:pPr>
      <w:widowControl/>
      <w:jc w:val="left"/>
    </w:pPr>
    <w:rPr>
      <w:kern w:val="0"/>
      <w:sz w:val="24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autoRedefine/>
    <w:qFormat/>
    <w:uiPriority w:val="0"/>
    <w:rPr>
      <w:spacing w:val="-2"/>
      <w:sz w:val="2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0266bfaf-a0c2-4092-80ff-b4a9007e0651</errorID>
      <errorWord>战略性新兴制造业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词汇“战略性新兴产业”在特定场景下为固定表述形式，请确认此处的“战略性新兴制造业”是否存在不当。</explain>
      <paraID> 1ED9857</paraID>
      <start>133</start>
      <end>141</end>
      <status>unmodified</status>
      <modifiedWord/>
      <trackRevisions>false</trackRevisions>
    </reviewItem>
    <reviewItem>
      <errorID>029e57cf-1bd2-4535-93a5-997eeb5ef56a</errorID>
      <errorWord>引进招商引资</errorWord>
      <group>L1_Grammar</group>
      <groupName>语法问题</groupName>
      <ability>L2_Grammar</ability>
      <abilityName>语法错误</abilityName>
      <candidateList>
        <item>引进</item>
      </candidateList>
      <explain/>
      <paraID> 355B41A</paraID>
      <start>48</start>
      <end>54</end>
      <status>ignored</status>
      <modifiedWord/>
      <trackRevisions>false</trackRevisions>
    </reviewItem>
    <reviewItem>
      <errorID>77f71dff-54ee-40e8-84f5-a4880c063a73</errorID>
      <errorWord>国家4A级景区</errorWord>
      <group>L1_Word</group>
      <groupName>字词问题</groupName>
      <ability>L2_Typo</ability>
      <abilityName>字词错误</abilityName>
      <candidateList>
        <item>国家4A级旅游景区</item>
      </candidateList>
      <explain/>
      <paraID>215A46E3</paraID>
      <start>6</start>
      <end>13</end>
      <status>ignored</status>
      <modifiedWord/>
      <trackRevisions>false</trackRevisions>
    </reviewItem>
    <reviewItem>
      <errorID>e50b148d-7225-429c-9a33-3fc1c422c5fe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215A46E3</paraID>
      <start>149</start>
      <end>150</end>
      <status>ignored</status>
      <modifiedWord/>
      <trackRevisions>false</trackRevisions>
    </reviewItem>
    <reviewItem>
      <errorID>efbb159d-9881-4d78-beae-2c6bb1843d48</errorID>
      <errorWord>百万千</errorWord>
      <group>L1_Grammar</group>
      <groupName>语法问题</groupName>
      <ability>L2_Grammar</ability>
      <abilityName>语法错误</abilityName>
      <candidateList>
        <item>兆</item>
      </candidateList>
      <explain/>
      <paraID>5DCC244A</paraID>
      <start>93</start>
      <end>96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8054-debf-4347-bae6-7b0911f51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3976</Words>
  <Characters>4929</Characters>
  <Lines>0</Lines>
  <Paragraphs>0</Paragraphs>
  <TotalTime>586</TotalTime>
  <ScaleCrop>false</ScaleCrop>
  <LinksUpToDate>false</LinksUpToDate>
  <CharactersWithSpaces>4951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2026-02-27T06:25:00Z</dcterms:created>
  <dc:creator>田泽军</dc:creator>
  <cp:lastModifiedBy>田泽军</cp:lastModifiedBy>
  <cp:lastPrinted>2026-04-21T06:59:00Z</cp:lastPrinted>
  <dcterms:modified xsi:type="dcterms:W3CDTF">2026-04-22T06:20:11Z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CDB51AB7BD054F6A8D00F3684BCF39BA_11</vt:lpwstr>
  </property>
  <property fmtid="{D5CDD505-2E9C-101B-9397-08002B2CF9AE}" pid="4" name="KSOTemplateDocerSaveRecord">
    <vt:lpwstr>eyJoZGlkIjoiZjg4ZjE1MDhjODc0YTYwYWIzYzBjZDVjYWQ2N2RmNWQiLCJ1c2VySWQiOiIzMTAwOTc5NjYifQ==</vt:lpwstr>
  </property>
</Properties>
</file>