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重庆市长寿区救助管理站</w:t>
      </w:r>
    </w:p>
    <w:p>
      <w:pPr>
        <w:pStyle w:val="6"/>
        <w:shd w:val="clear"/>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一、单位基本情况</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keepNext w:val="0"/>
        <w:keepLines w:val="0"/>
        <w:pageBreakBefore w:val="0"/>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负责全区生活无着的流浪、乞讨人员的救助和管理工作，主要是对生活无着的流浪、乞讨人员提供临时食宿、急病救治、协助返回等救助，以及未成年人救助和教育矫治等工作，拟设家暴庇护中心、灾害应急避难场所。</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本单位是长寿区民政局下属参照公务员法管理事业单位，无下属管理单位，无内设机构，编制8人，现有职工6人。</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黑体" w:cs="Times New Roman"/>
          <w:b/>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二、单位决算收支情况说明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仿宋_GB2312" w:cs="Times New Roman"/>
          <w:sz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2024年度收入总计232.66万元，支出总计</w:t>
      </w:r>
      <w:r>
        <w:rPr>
          <w:rFonts w:hint="default" w:ascii="Times New Roman" w:hAnsi="Times New Roman" w:eastAsia="方正仿宋_GBK" w:cs="Times New Roman"/>
          <w:sz w:val="32"/>
          <w:szCs w:val="32"/>
        </w:rPr>
        <w:t>232.66</w:t>
      </w:r>
      <w:r>
        <w:rPr>
          <w:rFonts w:hint="default" w:ascii="Times New Roman" w:hAnsi="Times New Roman" w:eastAsia="方正仿宋_GBK" w:cs="Times New Roman"/>
          <w:sz w:val="32"/>
          <w:szCs w:val="32"/>
          <w:shd w:val="clear" w:color="auto" w:fill="FFFFFF"/>
        </w:rPr>
        <w:t>万元。收、支与2023年度相比，减少65.35万元，下降21.9%，主要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仿宋_GB2312" w:cs="Times New Roman"/>
          <w:sz w:val="32"/>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2024年度收入合计232.66万元，与2023年度相比，减少65.35万元，下降21.9%，主要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232.66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仿宋_GB2312" w:cs="Times New Roman"/>
          <w:sz w:val="32"/>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232.66</w:t>
      </w:r>
      <w:r>
        <w:rPr>
          <w:rFonts w:hint="default" w:ascii="Times New Roman" w:hAnsi="Times New Roman" w:eastAsia="方正仿宋_GBK" w:cs="Times New Roman"/>
          <w:sz w:val="32"/>
          <w:szCs w:val="32"/>
          <w:shd w:val="clear" w:color="auto" w:fill="FFFFFF"/>
        </w:rPr>
        <w:t>万元，与2023年度相比，减少65.35万元，下降21.9%，主要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180.13</w:t>
      </w:r>
      <w:r>
        <w:rPr>
          <w:rFonts w:hint="default" w:ascii="Times New Roman" w:hAnsi="Times New Roman" w:eastAsia="方正仿宋_GBK" w:cs="Times New Roman"/>
          <w:sz w:val="32"/>
          <w:szCs w:val="32"/>
          <w:shd w:val="clear" w:color="auto" w:fill="FFFFFF"/>
        </w:rPr>
        <w:t>万元，占77.4%；项目支出</w:t>
      </w:r>
      <w:r>
        <w:rPr>
          <w:rFonts w:hint="default" w:ascii="Times New Roman" w:hAnsi="Times New Roman" w:eastAsia="方正仿宋_GBK" w:cs="Times New Roman"/>
          <w:sz w:val="32"/>
          <w:szCs w:val="32"/>
        </w:rPr>
        <w:t>52.53</w:t>
      </w:r>
      <w:r>
        <w:rPr>
          <w:rFonts w:hint="default" w:ascii="Times New Roman" w:hAnsi="Times New Roman" w:eastAsia="方正仿宋_GBK" w:cs="Times New Roman"/>
          <w:sz w:val="32"/>
          <w:szCs w:val="32"/>
          <w:shd w:val="clear" w:color="auto" w:fill="FFFFFF"/>
        </w:rPr>
        <w:t>万元，占22.6%；经营支出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2024年度财政拨款收、支总计232.66万元。与2023年相比，财政拨款收、支总计各减少65.35万元，下降21.9%。主要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232.66</w:t>
      </w:r>
      <w:r>
        <w:rPr>
          <w:rFonts w:hint="default" w:ascii="Times New Roman" w:hAnsi="Times New Roman" w:eastAsia="方正仿宋_GBK" w:cs="Times New Roman"/>
          <w:sz w:val="32"/>
          <w:szCs w:val="32"/>
          <w:shd w:val="clear" w:color="auto" w:fill="FFFFFF"/>
        </w:rPr>
        <w:t>万元，与2023年度相比，减少65.35万元，下降21.9%。主要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r>
        <w:rPr>
          <w:rFonts w:hint="default" w:ascii="Times New Roman" w:hAnsi="Times New Roman" w:eastAsia="方正仿宋_GBK" w:cs="Times New Roman"/>
          <w:sz w:val="32"/>
          <w:szCs w:val="32"/>
          <w:shd w:val="clear" w:color="auto" w:fill="FFFFFF"/>
        </w:rPr>
        <w:t>较年初预算数减少102.69万元，下降30.6%。主要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2024年度一般公共预算财政拨款支出232.66</w:t>
      </w:r>
      <w:r>
        <w:rPr>
          <w:rFonts w:hint="default" w:ascii="Times New Roman" w:hAnsi="Times New Roman" w:eastAsia="方正仿宋_GBK" w:cs="Times New Roman"/>
          <w:sz w:val="32"/>
          <w:szCs w:val="32"/>
          <w:shd w:val="clear" w:color="auto" w:fill="FFFFFF"/>
        </w:rPr>
        <w:t>万元，与2023年度相比，减少65.35万元，下降21.9%。主要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退休导致人员减少，同时减少了项目支出。</w:t>
      </w:r>
      <w:r>
        <w:rPr>
          <w:rFonts w:hint="default" w:ascii="Times New Roman" w:hAnsi="Times New Roman" w:eastAsia="方正仿宋_GBK" w:cs="Times New Roman"/>
          <w:sz w:val="32"/>
          <w:szCs w:val="32"/>
          <w:shd w:val="clear" w:color="auto" w:fill="FFFFFF"/>
        </w:rPr>
        <w:t>较年初预算数减少102.69万元，下降30.6%。主要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退休导致人员减少，同时减少了项目支出</w:t>
      </w:r>
      <w:r>
        <w:rPr>
          <w:rFonts w:hint="eastAsia"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w:t>
      </w:r>
      <w:r>
        <w:rPr>
          <w:rFonts w:hint="default" w:ascii="Times New Roman" w:hAnsi="Times New Roman" w:eastAsia="仿宋_GB2312" w:cs="Times New Roman"/>
          <w:sz w:val="32"/>
        </w:rPr>
        <w:t>减</w:t>
      </w:r>
      <w:r>
        <w:rPr>
          <w:rFonts w:hint="eastAsia" w:ascii="Times New Roman" w:hAnsi="Times New Roman" w:eastAsia="仿宋_GB2312" w:cs="Times New Roman"/>
          <w:sz w:val="32"/>
          <w:lang w:eastAsia="zh-CN"/>
        </w:rPr>
        <w:t>。</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w:t>
      </w:r>
      <w:r>
        <w:rPr>
          <w:rFonts w:hint="default" w:ascii="Times New Roman" w:hAnsi="Times New Roman" w:eastAsia="方正仿宋_GBK" w:cs="Times New Roman"/>
          <w:sz w:val="32"/>
          <w:szCs w:val="32"/>
          <w:shd w:val="clear" w:color="auto" w:fill="FFFFFF"/>
        </w:rPr>
        <w:t>，较年初预算数无增减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方正仿宋_GBK" w:cs="Times New Roman"/>
          <w:sz w:val="32"/>
          <w:szCs w:val="32"/>
          <w:shd w:val="clear" w:color="auto" w:fill="FFFFFF"/>
        </w:rPr>
        <w:t>（2）社会保障和就业支出</w:t>
      </w:r>
      <w:r>
        <w:rPr>
          <w:rFonts w:hint="default" w:ascii="Times New Roman" w:hAnsi="Times New Roman" w:eastAsia="方正仿宋_GBK" w:cs="Times New Roman"/>
          <w:sz w:val="32"/>
          <w:szCs w:val="32"/>
        </w:rPr>
        <w:t>210.33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90.4%</w:t>
      </w:r>
      <w:r>
        <w:rPr>
          <w:rFonts w:hint="default" w:ascii="Times New Roman" w:hAnsi="Times New Roman" w:eastAsia="方正仿宋_GBK" w:cs="Times New Roman"/>
          <w:sz w:val="32"/>
          <w:szCs w:val="32"/>
          <w:shd w:val="clear" w:color="auto" w:fill="FFFFFF"/>
        </w:rPr>
        <w:t>，较年初预算数减少100.61万元，下降32.4%，主要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仿宋_GB2312" w:cs="Times New Roman"/>
          <w:sz w:val="32"/>
        </w:rPr>
        <w:t>退休导致人员减少，同时减少了项目支出。</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w:t>
      </w:r>
      <w:r>
        <w:rPr>
          <w:rFonts w:hint="default" w:ascii="Times New Roman" w:hAnsi="Times New Roman" w:eastAsia="方正仿宋_GBK" w:cs="Times New Roman"/>
          <w:sz w:val="32"/>
          <w:szCs w:val="32"/>
          <w:shd w:val="clear" w:color="auto" w:fill="FFFFFF"/>
        </w:rPr>
        <w:t>，较年初预算数减少1.21万元，下降10.5%，主要原因是</w:t>
      </w:r>
      <w:r>
        <w:rPr>
          <w:rFonts w:hint="default" w:ascii="Times New Roman" w:hAnsi="Times New Roman" w:eastAsia="仿宋_GB2312" w:cs="Times New Roman"/>
          <w:sz w:val="32"/>
        </w:rPr>
        <w:t>退休导致人员减少，人员经费因而减少。</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住房保障支出11.21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4.8%</w:t>
      </w:r>
      <w:r>
        <w:rPr>
          <w:rFonts w:hint="default" w:ascii="Times New Roman" w:hAnsi="Times New Roman" w:eastAsia="方正仿宋_GBK" w:cs="Times New Roman"/>
          <w:sz w:val="32"/>
          <w:szCs w:val="32"/>
          <w:shd w:val="clear" w:color="auto" w:fill="FFFFFF"/>
        </w:rPr>
        <w:t>，较年初预算数减少0.88万元，下降7.3%，主要原因是</w:t>
      </w:r>
      <w:r>
        <w:rPr>
          <w:rFonts w:hint="default" w:ascii="Times New Roman" w:hAnsi="Times New Roman" w:eastAsia="仿宋_GB2312" w:cs="Times New Roman"/>
          <w:sz w:val="32"/>
        </w:rPr>
        <w:t>退休导致人员减少，人员经费因而减少。</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2024年度一般公共预算财政拨款基本支出</w:t>
      </w:r>
      <w:r>
        <w:rPr>
          <w:rFonts w:hint="default" w:ascii="Times New Roman" w:hAnsi="Times New Roman" w:eastAsia="方正仿宋_GBK" w:cs="Times New Roman"/>
          <w:sz w:val="32"/>
          <w:szCs w:val="32"/>
        </w:rPr>
        <w:t>180.13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150.83</w:t>
      </w:r>
      <w:r>
        <w:rPr>
          <w:rFonts w:hint="default" w:ascii="Times New Roman" w:hAnsi="Times New Roman" w:eastAsia="方正仿宋_GBK" w:cs="Times New Roman"/>
          <w:sz w:val="32"/>
          <w:szCs w:val="32"/>
          <w:shd w:val="clear" w:color="auto" w:fill="FFFFFF"/>
        </w:rPr>
        <w:t>万元，与2023年度相比，减少23.61万元，下降13.5%，主要原因是</w:t>
      </w:r>
      <w:r>
        <w:rPr>
          <w:rFonts w:hint="default" w:ascii="Times New Roman" w:hAnsi="Times New Roman" w:eastAsia="仿宋_GB2312" w:cs="Times New Roman"/>
          <w:sz w:val="32"/>
        </w:rPr>
        <w:t>退休导致人员减少，</w:t>
      </w:r>
      <w:r>
        <w:rPr>
          <w:rFonts w:hint="default" w:ascii="Times New Roman" w:hAnsi="Times New Roman" w:eastAsia="方正仿宋_GBK" w:cs="Times New Roman"/>
          <w:sz w:val="32"/>
          <w:szCs w:val="32"/>
          <w:shd w:val="clear" w:color="auto" w:fill="FFFFFF"/>
        </w:rPr>
        <w:t>工资福利支出减少</w:t>
      </w:r>
      <w:r>
        <w:rPr>
          <w:rFonts w:hint="default" w:ascii="Times New Roman" w:hAnsi="Times New Roman" w:eastAsia="仿宋_GB2312" w:cs="Times New Roman"/>
          <w:sz w:val="32"/>
        </w:rPr>
        <w:t>。</w:t>
      </w:r>
      <w:r>
        <w:rPr>
          <w:rFonts w:hint="default" w:ascii="Times New Roman" w:hAnsi="Times New Roman" w:eastAsia="方正仿宋_GBK" w:cs="Times New Roman"/>
          <w:sz w:val="32"/>
          <w:szCs w:val="32"/>
          <w:shd w:val="clear" w:color="auto" w:fill="FFFFFF"/>
        </w:rPr>
        <w:t>人员经费用途主要包括基本工资、规范性津贴补贴、年终一次性奖金等。公用经费</w:t>
      </w:r>
      <w:r>
        <w:rPr>
          <w:rFonts w:hint="default" w:ascii="Times New Roman" w:hAnsi="Times New Roman" w:eastAsia="方正仿宋_GBK" w:cs="Times New Roman"/>
          <w:sz w:val="32"/>
          <w:szCs w:val="32"/>
        </w:rPr>
        <w:t>29.30</w:t>
      </w:r>
      <w:r>
        <w:rPr>
          <w:rFonts w:hint="default" w:ascii="Times New Roman" w:hAnsi="Times New Roman" w:eastAsia="方正仿宋_GBK" w:cs="Times New Roman"/>
          <w:sz w:val="32"/>
          <w:szCs w:val="32"/>
          <w:shd w:val="clear" w:color="auto" w:fill="FFFFFF"/>
        </w:rPr>
        <w:t>万元，与2023年度相比，增加0.03万元，增长0.1%。公用经费用途主要包括办公费、邮电费、其他交通费用和工会经费等。</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1.55</w:t>
      </w:r>
      <w:r>
        <w:rPr>
          <w:rFonts w:hint="default" w:ascii="Times New Roman" w:hAnsi="Times New Roman" w:eastAsia="方正仿宋_GBK" w:cs="Times New Roman"/>
          <w:sz w:val="32"/>
          <w:szCs w:val="32"/>
          <w:shd w:val="clear" w:color="auto" w:fill="FFFFFF"/>
        </w:rPr>
        <w:t>万元，较年初预算数减少4.15万元，下降72.8%，主要原因是</w:t>
      </w:r>
      <w:r>
        <w:rPr>
          <w:rFonts w:hint="default" w:ascii="Times New Roman" w:hAnsi="Times New Roman" w:eastAsia="仿宋_GB2312" w:cs="Times New Roman"/>
          <w:sz w:val="32"/>
          <w:szCs w:val="32"/>
        </w:rPr>
        <w:t>公务车辆年久待修，本年用车减少。</w:t>
      </w:r>
      <w:r>
        <w:rPr>
          <w:rFonts w:hint="default" w:ascii="Times New Roman" w:hAnsi="Times New Roman" w:eastAsia="方正仿宋_GBK" w:cs="Times New Roman"/>
          <w:sz w:val="32"/>
          <w:szCs w:val="32"/>
          <w:shd w:val="clear" w:color="auto" w:fill="FFFFFF"/>
        </w:rPr>
        <w:t>较上年支出数减少0.59万元，下降27.6%，主要原因是</w:t>
      </w:r>
      <w:r>
        <w:rPr>
          <w:rFonts w:hint="default" w:ascii="Times New Roman" w:hAnsi="Times New Roman" w:eastAsia="仿宋_GB2312" w:cs="Times New Roman"/>
          <w:sz w:val="32"/>
          <w:szCs w:val="32"/>
        </w:rPr>
        <w:t>公务车辆年久待修，本年用车减少。</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万元，费用支出较年初预算数无增减，主要原因是本单位无因公出国（境）人员。</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公务用车运行维护费</w:t>
      </w:r>
      <w:r>
        <w:rPr>
          <w:rFonts w:hint="default" w:ascii="Times New Roman" w:hAnsi="Times New Roman" w:eastAsia="方正仿宋_GBK" w:cs="Times New Roman"/>
          <w:sz w:val="32"/>
          <w:szCs w:val="32"/>
        </w:rPr>
        <w:t>0.75</w:t>
      </w:r>
      <w:r>
        <w:rPr>
          <w:rFonts w:hint="default" w:ascii="Times New Roman" w:hAnsi="Times New Roman" w:eastAsia="方正仿宋_GBK" w:cs="Times New Roman"/>
          <w:sz w:val="32"/>
          <w:szCs w:val="32"/>
          <w:shd w:val="clear" w:color="auto" w:fill="FFFFFF"/>
        </w:rPr>
        <w:t>万元，主要用于公务车的维修、保养、过路过桥费和加油等</w:t>
      </w:r>
      <w:bookmarkStart w:id="0" w:name="_GoBack"/>
      <w:bookmarkEnd w:id="0"/>
      <w:r>
        <w:rPr>
          <w:rFonts w:hint="default" w:ascii="Times New Roman" w:hAnsi="Times New Roman" w:eastAsia="方正仿宋_GBK" w:cs="Times New Roman"/>
          <w:sz w:val="32"/>
          <w:szCs w:val="32"/>
          <w:shd w:val="clear" w:color="auto" w:fill="FFFFFF"/>
        </w:rPr>
        <w:t>支出，费用支出较年初预算数减少3.25万元，下降81.3%，主要原因是</w:t>
      </w:r>
      <w:r>
        <w:rPr>
          <w:rFonts w:hint="default" w:ascii="Times New Roman" w:hAnsi="Times New Roman" w:eastAsia="仿宋_GB2312" w:cs="Times New Roman"/>
          <w:sz w:val="32"/>
          <w:szCs w:val="32"/>
        </w:rPr>
        <w:t>公务车辆年久待修，本年用车减少</w:t>
      </w:r>
      <w:r>
        <w:rPr>
          <w:rFonts w:hint="default" w:ascii="Times New Roman" w:hAnsi="Times New Roman" w:eastAsia="方正仿宋_GBK" w:cs="Times New Roman"/>
          <w:sz w:val="32"/>
          <w:szCs w:val="32"/>
          <w:shd w:val="clear" w:color="auto" w:fill="FFFFFF"/>
        </w:rPr>
        <w:t>较上年支出数减少0.88万元，下降54.0%，主要原因是</w:t>
      </w:r>
      <w:r>
        <w:rPr>
          <w:rFonts w:hint="default" w:ascii="Times New Roman" w:hAnsi="Times New Roman" w:eastAsia="仿宋_GB2312" w:cs="Times New Roman"/>
          <w:sz w:val="32"/>
          <w:szCs w:val="32"/>
        </w:rPr>
        <w:t>公务车辆年久待修，本年用车减少</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0.80</w:t>
      </w:r>
      <w:r>
        <w:rPr>
          <w:rFonts w:hint="default" w:ascii="Times New Roman" w:hAnsi="Times New Roman" w:eastAsia="方正仿宋_GBK" w:cs="Times New Roman"/>
          <w:sz w:val="32"/>
          <w:szCs w:val="32"/>
          <w:shd w:val="clear" w:color="auto" w:fill="FFFFFF"/>
        </w:rPr>
        <w:t>万元，主要用于接待因工作原因上级、其他救助站来我单位人员以及其他工作人员送救助人员来我单位的人员等。费用支出较年初预算数减少0.90万元，下降52.9%，主要原因是接待次数减少。</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辆，公务用车保有量为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44.88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0.75</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0.34</w:t>
      </w:r>
      <w:r>
        <w:rPr>
          <w:rFonts w:hint="default" w:ascii="Times New Roman" w:hAnsi="Times New Roman" w:eastAsia="方正仿宋_GBK" w:cs="Times New Roman"/>
          <w:sz w:val="32"/>
          <w:szCs w:val="32"/>
          <w:shd w:val="clear" w:color="auto" w:fill="FFFFFF"/>
        </w:rPr>
        <w:t>万元，与2023年度相比，减少0.26万元，下降43.3%，主要原因是救助管理系统专题培训减少。</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29.30</w:t>
      </w:r>
      <w:r>
        <w:rPr>
          <w:rFonts w:hint="default" w:ascii="Times New Roman" w:hAnsi="Times New Roman" w:eastAsia="方正仿宋_GBK" w:cs="Times New Roman"/>
          <w:sz w:val="32"/>
          <w:szCs w:val="32"/>
          <w:shd w:val="clear" w:color="auto" w:fill="FFFFFF"/>
        </w:rPr>
        <w:t>万元，机关运行经费主要用于开支办公费、水费、电费、邮电费、培训费、会议费、公务接待费、公务车运行维护费等。机关运行经费较上年支出数增加0.03万元，增长0.1%。</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shd w:val="clear"/>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1.25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1.25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1.25万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1.25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%。主要用于采购打印机、笔记本电脑、台式电脑各一台。</w:t>
      </w:r>
    </w:p>
    <w:p>
      <w:pPr>
        <w:pStyle w:val="16"/>
        <w:keepNext w:val="0"/>
        <w:keepLines w:val="0"/>
        <w:pageBreakBefore w:val="0"/>
        <w:shd w:val="clear"/>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五、预算绩效管理情况说明</w:t>
      </w:r>
    </w:p>
    <w:p>
      <w:pPr>
        <w:pStyle w:val="6"/>
        <w:keepNext w:val="0"/>
        <w:keepLines w:val="0"/>
        <w:pageBreakBefore w:val="0"/>
        <w:widowControl w:val="0"/>
        <w:shd w:val="clear"/>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kern w:val="2"/>
          <w:sz w:val="32"/>
          <w:szCs w:val="32"/>
          <w:shd w:val="clear" w:color="auto" w:fill="FFFFFF"/>
        </w:rPr>
      </w:pPr>
      <w:r>
        <w:rPr>
          <w:rFonts w:hint="default" w:ascii="Times New Roman" w:hAnsi="Times New Roman" w:eastAsia="方正楷体_GBK" w:cs="Times New Roman"/>
          <w:kern w:val="2"/>
          <w:sz w:val="32"/>
          <w:szCs w:val="32"/>
          <w:shd w:val="clear" w:color="auto" w:fill="FFFFFF"/>
          <w:lang w:bidi="ar"/>
        </w:rPr>
        <w:t>（一）预算绩效管理工作开展情况</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lang w:bidi="ar"/>
        </w:rPr>
        <w:t>根据预算绩效管理要求，我单位对2个项目开展了绩效自评，涉及财政拨款项目支出资金52.5345万元。</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2"/>
          <w:sz w:val="32"/>
          <w:szCs w:val="32"/>
          <w:shd w:val="clear" w:color="auto" w:fill="FFFFFF"/>
          <w:lang w:bidi="ar"/>
        </w:rPr>
        <w:t>（二）</w:t>
      </w:r>
      <w:r>
        <w:rPr>
          <w:rFonts w:hint="default" w:ascii="Times New Roman" w:hAnsi="Times New Roman" w:eastAsia="方正楷体_GBK" w:cs="Times New Roman"/>
          <w:sz w:val="32"/>
          <w:szCs w:val="32"/>
          <w:lang w:bidi="ar"/>
        </w:rPr>
        <w:t>绩效自评结果</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color w:val="000000"/>
          <w:sz w:val="32"/>
          <w:szCs w:val="32"/>
          <w:lang w:bidi="ar"/>
        </w:rPr>
        <w:t>绩效自评结果详见附件2024年度绩效自评公开表（《部门整体绩效自评表》、《项目绩效自评结果汇总表》、《项目支出绩效自评表》）。</w:t>
      </w:r>
    </w:p>
    <w:p>
      <w:pPr>
        <w:pStyle w:val="6"/>
        <w:keepNext w:val="0"/>
        <w:keepLines w:val="0"/>
        <w:pageBreakBefore w:val="0"/>
        <w:widowControl w:val="0"/>
        <w:shd w:val="clear"/>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kern w:val="2"/>
          <w:sz w:val="32"/>
          <w:szCs w:val="32"/>
          <w:shd w:val="clear" w:color="auto" w:fill="FFFFFF"/>
        </w:rPr>
      </w:pPr>
      <w:r>
        <w:rPr>
          <w:rFonts w:hint="default" w:ascii="Times New Roman" w:hAnsi="Times New Roman" w:eastAsia="方正楷体_GBK" w:cs="Times New Roman"/>
          <w:kern w:val="2"/>
          <w:sz w:val="32"/>
          <w:szCs w:val="32"/>
          <w:shd w:val="clear" w:color="auto" w:fill="FFFFFF"/>
          <w:lang w:bidi="ar"/>
        </w:rPr>
        <w:t>（三）财政绩效评价情况</w:t>
      </w:r>
    </w:p>
    <w:p>
      <w:pPr>
        <w:pStyle w:val="6"/>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区财政局未委托第三方对我单位开展绩效评价。</w:t>
      </w:r>
    </w:p>
    <w:p>
      <w:pPr>
        <w:pStyle w:val="12"/>
        <w:keepNext w:val="0"/>
        <w:keepLines w:val="0"/>
        <w:pageBreakBefore w:val="0"/>
        <w:shd w:val="clear"/>
        <w:kinsoku/>
        <w:wordWrap/>
        <w:overflowPunct/>
        <w:topLinePunct w:val="0"/>
        <w:autoSpaceDE w:val="0"/>
        <w:autoSpaceDN/>
        <w:bidi w:val="0"/>
        <w:adjustRightInd/>
        <w:spacing w:before="0" w:beforeAutospacing="0" w:after="0" w:afterAutospacing="0" w:line="594" w:lineRule="exact"/>
        <w:textAlignment w:val="auto"/>
        <w:rPr>
          <w:rFonts w:hint="eastAsia" w:ascii="方正黑体_GBK" w:hAnsi="方正黑体_GBK" w:eastAsia="方正黑体_GBK" w:cs="方正黑体_GBK"/>
          <w:b w:val="0"/>
          <w:bCs/>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pPr>
        <w:pStyle w:val="6"/>
        <w:keepNext w:val="0"/>
        <w:keepLines w:val="0"/>
        <w:pageBreakBefore w:val="0"/>
        <w:shd w:val="clear"/>
        <w:kinsoku/>
        <w:wordWrap/>
        <w:overflowPunct/>
        <w:topLinePunct w:val="0"/>
        <w:autoSpaceDN/>
        <w:bidi w:val="0"/>
        <w:adjustRightInd/>
        <w:snapToGrid w:val="0"/>
        <w:spacing w:before="0" w:beforeAutospacing="0" w:after="0" w:afterAutospacing="0" w:line="594" w:lineRule="exact"/>
        <w:ind w:left="319" w:leftChars="133" w:firstLine="320" w:firstLineChars="1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本单位决算公开信息反馈和联系方式：023-40233317</w:t>
      </w:r>
    </w:p>
    <w:p>
      <w:pPr>
        <w:pStyle w:val="12"/>
        <w:keepNext w:val="0"/>
        <w:keepLines w:val="0"/>
        <w:pageBreakBefore w:val="0"/>
        <w:shd w:val="clear"/>
        <w:kinsoku/>
        <w:wordWrap/>
        <w:overflowPunct/>
        <w:topLinePunct w:val="0"/>
        <w:autoSpaceDN/>
        <w:bidi w:val="0"/>
        <w:adjustRightInd/>
        <w:spacing w:before="0" w:beforeAutospacing="0" w:after="0" w:afterAutospacing="0" w:line="594" w:lineRule="exact"/>
        <w:textAlignment w:val="auto"/>
        <w:rPr>
          <w:rFonts w:hint="default" w:ascii="Times New Roman" w:hAnsi="Times New Roman" w:eastAsia="方正仿宋_GBK" w:cs="Times New Roman"/>
          <w:sz w:val="32"/>
          <w:szCs w:val="32"/>
        </w:rPr>
      </w:pPr>
    </w:p>
    <w:p>
      <w:pPr>
        <w:keepNext w:val="0"/>
        <w:keepLines w:val="0"/>
        <w:pageBreakBefore w:val="0"/>
        <w:shd w:val="clear"/>
        <w:kinsoku/>
        <w:wordWrap/>
        <w:overflowPunct/>
        <w:topLinePunct w:val="0"/>
        <w:autoSpaceDN/>
        <w:bidi w:val="0"/>
        <w:adjustRightInd/>
        <w:spacing w:beforeAutospacing="0" w:afterAutospacing="0" w:line="594" w:lineRule="exact"/>
        <w:textAlignment w:val="auto"/>
        <w:rPr>
          <w:rFonts w:hint="default" w:ascii="Times New Roman" w:hAnsi="Times New Roman" w:cs="Times New Roman"/>
          <w:sz w:val="20"/>
          <w:szCs w:val="20"/>
        </w:rPr>
      </w:pPr>
    </w:p>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3360" behindDoc="0" locked="0" layoutInCell="1" allowOverlap="0">
              <wp:simplePos x="0" y="0"/>
              <wp:positionH relativeFrom="margin">
                <wp:align>outside</wp:align>
              </wp:positionH>
              <wp:positionV relativeFrom="paragraph">
                <wp:posOffset>-676275</wp:posOffset>
              </wp:positionV>
              <wp:extent cx="400685" cy="147955"/>
              <wp:effectExtent l="0" t="0" r="0" b="0"/>
              <wp:wrapNone/>
              <wp:docPr id="3"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8 -</w:t>
                          </w:r>
                          <w:r>
                            <w:rPr>
                              <w:sz w:val="28"/>
                              <w:szCs w:val="28"/>
                            </w:rP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53.25pt;height:11.65pt;width:31.55pt;mso-position-horizontal:outside;mso-position-horizontal-relative:margin;mso-wrap-style:none;z-index:251663360;mso-width-relative:page;mso-height-relative:page;" filled="f" stroked="f" coordsize="21600,21600" o:allowoverlap="f" o:gfxdata="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rlRl1QAAAAgBAAAPAAAA&#10;AAAAAAEAIAAAACIAAABkcnMvZG93bnJldi54bWxQSwECFAAUAAAACACHTuJAPDb05d8BAACzAwAA&#10;DgAAAAAAAAABACAAAAAkAQAAZHJzL2Uyb0RvYy54bWxQSwUGAAAAAAYABgBZAQAAdQUAAAAA&#10;">
              <v:fill on="f" focussize="0,0"/>
              <v:stroke on="f"/>
              <v:imagedata o:title=""/>
              <o:lock v:ext="edit" aspectratio="f"/>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8 -</w:t>
                    </w:r>
                    <w:r>
                      <w:rPr>
                        <w:sz w:val="28"/>
                        <w:szCs w:val="28"/>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572135" cy="220980"/>
              <wp:effectExtent l="0" t="0" r="0" b="0"/>
              <wp:wrapNone/>
              <wp:docPr id="4"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Ml+hQ1gAAAAkBAAAP&#10;AAAAAAAAAAEAIAAAACIAAABkcnMvZG93bnJldi54bWxQSwECFAAUAAAACACHTuJAlInqSeEBAACz&#10;AwAADgAAAAAAAAABACAAAAAlAQAAZHJzL2Uyb0RvYy54bWxQSwUGAAAAAAYABgBZAQAAeAU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MmY4ZjI1OWIzYmEzMzg5MWE2ZDNiNmU3YWUzMWIifQ=="/>
  </w:docVars>
  <w:rsids>
    <w:rsidRoot w:val="00B03CCD"/>
    <w:rsid w:val="000239C6"/>
    <w:rsid w:val="00187D16"/>
    <w:rsid w:val="001B4D7D"/>
    <w:rsid w:val="001B5E64"/>
    <w:rsid w:val="001D3BB7"/>
    <w:rsid w:val="002124D8"/>
    <w:rsid w:val="002B254B"/>
    <w:rsid w:val="00302FFF"/>
    <w:rsid w:val="0034050A"/>
    <w:rsid w:val="003648E7"/>
    <w:rsid w:val="003E765F"/>
    <w:rsid w:val="0042628F"/>
    <w:rsid w:val="0044504F"/>
    <w:rsid w:val="00466C9B"/>
    <w:rsid w:val="00466E7E"/>
    <w:rsid w:val="00486CFC"/>
    <w:rsid w:val="00491DDD"/>
    <w:rsid w:val="004C76C1"/>
    <w:rsid w:val="004D521E"/>
    <w:rsid w:val="004F1B35"/>
    <w:rsid w:val="00550ABE"/>
    <w:rsid w:val="00572042"/>
    <w:rsid w:val="00591DC2"/>
    <w:rsid w:val="005A5BBE"/>
    <w:rsid w:val="005C6E8D"/>
    <w:rsid w:val="00623A85"/>
    <w:rsid w:val="00770383"/>
    <w:rsid w:val="007819D4"/>
    <w:rsid w:val="007B419D"/>
    <w:rsid w:val="007B7C4B"/>
    <w:rsid w:val="007D3D39"/>
    <w:rsid w:val="007E06BB"/>
    <w:rsid w:val="00846C75"/>
    <w:rsid w:val="0087678F"/>
    <w:rsid w:val="008D1126"/>
    <w:rsid w:val="008D7B7A"/>
    <w:rsid w:val="00905DEE"/>
    <w:rsid w:val="009513E1"/>
    <w:rsid w:val="00984C6A"/>
    <w:rsid w:val="00994AF7"/>
    <w:rsid w:val="009B67B8"/>
    <w:rsid w:val="009C14C9"/>
    <w:rsid w:val="009D2B67"/>
    <w:rsid w:val="009E1452"/>
    <w:rsid w:val="00A47ADA"/>
    <w:rsid w:val="00A566F9"/>
    <w:rsid w:val="00AF2751"/>
    <w:rsid w:val="00B03CCD"/>
    <w:rsid w:val="00BE2B89"/>
    <w:rsid w:val="00BF0D89"/>
    <w:rsid w:val="00C10E9E"/>
    <w:rsid w:val="00C135A0"/>
    <w:rsid w:val="00C20C3E"/>
    <w:rsid w:val="00C5163E"/>
    <w:rsid w:val="00CF2ACF"/>
    <w:rsid w:val="00CF31E3"/>
    <w:rsid w:val="00D03AAF"/>
    <w:rsid w:val="00D81D84"/>
    <w:rsid w:val="00DD0539"/>
    <w:rsid w:val="00E07662"/>
    <w:rsid w:val="00E368E9"/>
    <w:rsid w:val="00EB4E8B"/>
    <w:rsid w:val="00EE1E33"/>
    <w:rsid w:val="00F27F78"/>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7A0263"/>
    <w:rsid w:val="0C9B098C"/>
    <w:rsid w:val="0D673E11"/>
    <w:rsid w:val="0DDA54E4"/>
    <w:rsid w:val="0E3A5F83"/>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051048"/>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0C0769"/>
    <w:rsid w:val="22403BD3"/>
    <w:rsid w:val="22AD3177"/>
    <w:rsid w:val="235417B6"/>
    <w:rsid w:val="235977ED"/>
    <w:rsid w:val="24B92327"/>
    <w:rsid w:val="24C14514"/>
    <w:rsid w:val="24E37FCC"/>
    <w:rsid w:val="252D4D73"/>
    <w:rsid w:val="2533755C"/>
    <w:rsid w:val="25791755"/>
    <w:rsid w:val="26396DF4"/>
    <w:rsid w:val="27167136"/>
    <w:rsid w:val="271B442C"/>
    <w:rsid w:val="2770185E"/>
    <w:rsid w:val="27B23302"/>
    <w:rsid w:val="29310A5F"/>
    <w:rsid w:val="29327BD1"/>
    <w:rsid w:val="29C37A35"/>
    <w:rsid w:val="2A076083"/>
    <w:rsid w:val="2A73162E"/>
    <w:rsid w:val="2A76270D"/>
    <w:rsid w:val="2B167953"/>
    <w:rsid w:val="2B200583"/>
    <w:rsid w:val="2B2729C0"/>
    <w:rsid w:val="2B8209DE"/>
    <w:rsid w:val="2B821C91"/>
    <w:rsid w:val="2BF81A22"/>
    <w:rsid w:val="2C034960"/>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665D8"/>
    <w:rsid w:val="69BE0DE5"/>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100D8"/>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9E93DE6"/>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4253</Words>
  <Characters>4773</Characters>
  <Lines>34</Lines>
  <Paragraphs>9</Paragraphs>
  <TotalTime>4</TotalTime>
  <ScaleCrop>false</ScaleCrop>
  <LinksUpToDate>false</LinksUpToDate>
  <CharactersWithSpaces>4780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2025-10-13T02:55:00Z</dcterms:created>
  <dc:creator>Administrator</dc:creator>
  <cp:lastModifiedBy>Administrator</cp:lastModifiedBy>
  <dcterms:modified xsi:type="dcterms:W3CDTF">2025-10-15T03:46:28Z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