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重庆市长寿区养老服务指导中心</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pPr>
        <w:pStyle w:val="6"/>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Times New Roman" w:hAnsi="Times New Roman" w:eastAsia="黑体" w:cs="Times New Roman"/>
          <w:b w:val="0"/>
          <w:bCs/>
          <w:sz w:val="32"/>
          <w:szCs w:val="32"/>
          <w:shd w:val="clear" w:color="auto" w:fill="FFFFFF"/>
        </w:rPr>
      </w:pPr>
      <w:r>
        <w:rPr>
          <w:rStyle w:val="10"/>
          <w:rFonts w:hint="default" w:ascii="Times New Roman" w:hAnsi="Times New Roman" w:eastAsia="黑体" w:cs="Times New Roman"/>
          <w:b w:val="0"/>
          <w:bCs/>
          <w:sz w:val="32"/>
          <w:szCs w:val="32"/>
          <w:shd w:val="clear" w:color="auto" w:fill="FFFFFF"/>
        </w:rPr>
        <w:t>一、</w:t>
      </w:r>
      <w:r>
        <w:rPr>
          <w:rStyle w:val="10"/>
          <w:rFonts w:hint="default" w:ascii="Times New Roman" w:hAnsi="Times New Roman" w:eastAsia="黑体" w:cs="Times New Roman"/>
          <w:b w:val="0"/>
          <w:bCs/>
          <w:sz w:val="32"/>
          <w:szCs w:val="32"/>
          <w:shd w:val="clear" w:color="auto" w:fill="FFFFFF"/>
          <w:lang w:eastAsia="zh-CN"/>
        </w:rPr>
        <w:t>单位</w:t>
      </w:r>
      <w:r>
        <w:rPr>
          <w:rStyle w:val="10"/>
          <w:rFonts w:hint="default" w:ascii="Times New Roman" w:hAnsi="Times New Roman" w:eastAsia="黑体" w:cs="Times New Roman"/>
          <w:b w:val="0"/>
          <w:bCs/>
          <w:sz w:val="32"/>
          <w:szCs w:val="32"/>
          <w:shd w:val="clear" w:color="auto" w:fill="FFFFFF"/>
        </w:rPr>
        <w:t>基本情况</w:t>
      </w:r>
    </w:p>
    <w:p>
      <w:pPr>
        <w:pStyle w:val="6"/>
        <w:shd w:val="clear" w:color="auto" w:fill="auto"/>
        <w:spacing w:beforeAutospacing="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（一）职能职责</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本单位</w:t>
      </w:r>
      <w:r>
        <w:rPr>
          <w:rFonts w:hint="default" w:ascii="Times New Roman" w:hAnsi="Times New Roman" w:eastAsia="方正仿宋_GBK" w:cs="Times New Roman"/>
          <w:sz w:val="32"/>
          <w:szCs w:val="32"/>
        </w:rPr>
        <w:t>职能职责</w:t>
      </w:r>
      <w:r>
        <w:rPr>
          <w:rFonts w:hint="default" w:ascii="Times New Roman" w:hAnsi="Times New Roman" w:eastAsia="方正仿宋_GBK" w:cs="Times New Roman"/>
          <w:sz w:val="32"/>
          <w:szCs w:val="32"/>
          <w:lang w:val="en-US" w:eastAsia="zh-CN"/>
        </w:rPr>
        <w:t>为</w:t>
      </w:r>
      <w:r>
        <w:rPr>
          <w:rFonts w:hint="default" w:ascii="Times New Roman" w:hAnsi="Times New Roman" w:eastAsia="方正仿宋_GBK" w:cs="Times New Roman"/>
          <w:sz w:val="32"/>
          <w:szCs w:val="32"/>
        </w:rPr>
        <w:t>开展全区养老服务体系建设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负责养老机构（包括敬老院福利院）业务指导工作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负责社区居家养老服务指导工作等。</w:t>
      </w:r>
    </w:p>
    <w:p>
      <w:pPr>
        <w:pStyle w:val="6"/>
        <w:shd w:val="clear" w:color="auto" w:fill="auto"/>
        <w:spacing w:beforeAutospacing="0" w:afterAutospacing="0" w:line="594" w:lineRule="exact"/>
        <w:ind w:firstLine="643" w:firstLineChars="200"/>
        <w:rPr>
          <w:rFonts w:hint="default" w:ascii="Times New Roman" w:hAnsi="Times New Roman" w:eastAsia="楷体" w:cs="Times New Roman"/>
          <w:sz w:val="32"/>
          <w:szCs w:val="32"/>
        </w:rPr>
      </w:pPr>
      <w:r>
        <w:rPr>
          <w:rStyle w:val="10"/>
          <w:rFonts w:hint="default" w:ascii="Times New Roman" w:hAnsi="Times New Roman" w:eastAsia="楷体" w:cs="Times New Roman"/>
          <w:sz w:val="32"/>
          <w:szCs w:val="32"/>
          <w:shd w:val="clear" w:color="auto" w:fill="FFFFFF"/>
        </w:rPr>
        <w:t>（二）机构设置</w:t>
      </w:r>
    </w:p>
    <w:p>
      <w:pPr>
        <w:pStyle w:val="6"/>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94"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shd w:val="clear" w:color="auto" w:fill="FFFFFF"/>
        </w:rPr>
        <w:t>本单位属于公益一类事业单位，核定编制4人，实有4人，无下级预算单位</w:t>
      </w:r>
      <w:r>
        <w:rPr>
          <w:rFonts w:hint="default" w:ascii="Times New Roman" w:hAnsi="Times New Roman" w:eastAsia="方正仿宋_GBK" w:cs="Times New Roman"/>
          <w:color w:val="auto"/>
          <w:sz w:val="32"/>
          <w:szCs w:val="32"/>
          <w:shd w:val="clear" w:color="auto" w:fill="FFFFFF"/>
          <w:lang w:eastAsia="zh-CN"/>
        </w:rPr>
        <w:t>。</w:t>
      </w:r>
    </w:p>
    <w:p>
      <w:pPr>
        <w:pStyle w:val="6"/>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Times New Roman" w:hAnsi="Times New Roman" w:eastAsia="黑体" w:cs="Times New Roman"/>
          <w:b w:val="0"/>
          <w:bCs/>
          <w:sz w:val="32"/>
          <w:szCs w:val="32"/>
          <w:shd w:val="clear" w:color="auto" w:fill="FFFFFF"/>
        </w:rPr>
      </w:pPr>
      <w:r>
        <w:rPr>
          <w:rStyle w:val="10"/>
          <w:rFonts w:hint="default" w:ascii="Times New Roman" w:hAnsi="Times New Roman" w:eastAsia="黑体" w:cs="Times New Roman"/>
          <w:b w:val="0"/>
          <w:bCs/>
          <w:sz w:val="32"/>
          <w:szCs w:val="32"/>
          <w:shd w:val="clear" w:color="auto" w:fill="FFFFFF"/>
        </w:rPr>
        <w:t>二、</w:t>
      </w:r>
      <w:r>
        <w:rPr>
          <w:rStyle w:val="10"/>
          <w:rFonts w:hint="default" w:ascii="Times New Roman" w:hAnsi="Times New Roman" w:eastAsia="黑体" w:cs="Times New Roman"/>
          <w:b w:val="0"/>
          <w:bCs/>
          <w:sz w:val="32"/>
          <w:szCs w:val="32"/>
          <w:shd w:val="clear" w:color="auto" w:fill="FFFFFF"/>
          <w:lang w:eastAsia="zh-CN"/>
        </w:rPr>
        <w:t>单位</w:t>
      </w:r>
      <w:r>
        <w:rPr>
          <w:rStyle w:val="10"/>
          <w:rFonts w:hint="default" w:ascii="Times New Roman" w:hAnsi="Times New Roman" w:eastAsia="黑体" w:cs="Times New Roman"/>
          <w:b w:val="0"/>
          <w:bCs/>
          <w:sz w:val="32"/>
          <w:szCs w:val="32"/>
          <w:shd w:val="clear" w:color="auto" w:fill="FFFFFF"/>
        </w:rPr>
        <w:t>决算</w:t>
      </w:r>
      <w:r>
        <w:rPr>
          <w:rStyle w:val="10"/>
          <w:rFonts w:hint="default" w:ascii="Times New Roman" w:hAnsi="Times New Roman" w:eastAsia="黑体" w:cs="Times New Roman"/>
          <w:b w:val="0"/>
          <w:bCs/>
          <w:sz w:val="32"/>
          <w:szCs w:val="32"/>
          <w:shd w:val="clear" w:color="auto" w:fill="FFFFFF"/>
          <w:lang w:eastAsia="zh-CN"/>
        </w:rPr>
        <w:t>收支</w:t>
      </w:r>
      <w:r>
        <w:rPr>
          <w:rStyle w:val="10"/>
          <w:rFonts w:hint="default" w:ascii="Times New Roman" w:hAnsi="Times New Roman" w:eastAsia="黑体" w:cs="Times New Roman"/>
          <w:b w:val="0"/>
          <w:bCs/>
          <w:sz w:val="32"/>
          <w:szCs w:val="32"/>
          <w:shd w:val="clear" w:color="auto" w:fill="FFFFFF"/>
        </w:rPr>
        <w:t>情况说明</w:t>
      </w:r>
    </w:p>
    <w:p>
      <w:pPr>
        <w:pStyle w:val="11"/>
        <w:autoSpaceDE w:val="0"/>
        <w:spacing w:line="594" w:lineRule="exact"/>
        <w:ind w:firstLine="643"/>
        <w:rPr>
          <w:rFonts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bookmarkStart w:id="0" w:name="_GoBack"/>
      <w:bookmarkEnd w:id="0"/>
    </w:p>
    <w:p>
      <w:pPr>
        <w:pStyle w:val="6"/>
        <w:shd w:val="clear" w:color="auto" w:fill="auto"/>
        <w:spacing w:beforeAutospacing="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度收入总计152.30万元，支出总计</w:t>
      </w:r>
      <w:r>
        <w:rPr>
          <w:rFonts w:hint="default" w:ascii="Times New Roman" w:hAnsi="Times New Roman" w:eastAsia="方正仿宋_GBK" w:cs="Times New Roman"/>
          <w:sz w:val="32"/>
          <w:szCs w:val="32"/>
        </w:rPr>
        <w:t>152.30</w:t>
      </w:r>
      <w:r>
        <w:rPr>
          <w:rFonts w:hint="default" w:ascii="Times New Roman" w:hAnsi="Times New Roman" w:eastAsia="方正仿宋_GBK" w:cs="Times New Roman"/>
          <w:sz w:val="32"/>
          <w:szCs w:val="32"/>
          <w:shd w:val="clear" w:color="auto" w:fill="FFFFFF"/>
        </w:rPr>
        <w:t>万元。收、支与2023年度相比，增加152.30万元，增长100.0%，主要原因是</w:t>
      </w:r>
      <w:r>
        <w:rPr>
          <w:rFonts w:hint="default" w:ascii="Times New Roman" w:hAnsi="Times New Roman" w:eastAsia="方正仿宋_GBK" w:cs="Times New Roman"/>
          <w:sz w:val="32"/>
          <w:szCs w:val="32"/>
          <w:shd w:val="clear" w:color="auto" w:fill="FFFFFF"/>
          <w:lang w:val="en-US" w:eastAsia="zh-CN"/>
        </w:rPr>
        <w:t>2023年在局机关本级进行决算，2024年按相关规定作为独立法人单位进行决算。</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度收入合计152.30万元，与2023年度相比，增加152.30万元，增长100.0%，主要原因是</w:t>
      </w:r>
      <w:r>
        <w:rPr>
          <w:rFonts w:hint="default" w:ascii="Times New Roman" w:hAnsi="Times New Roman" w:eastAsia="方正仿宋_GBK" w:cs="Times New Roman"/>
          <w:sz w:val="32"/>
          <w:szCs w:val="32"/>
          <w:shd w:val="clear" w:color="auto" w:fill="FFFFFF"/>
          <w:lang w:val="en-US" w:eastAsia="zh-CN"/>
        </w:rPr>
        <w:t>2023年在局机关本级进行决算，2024年按相关规定作为独立法人单位进行决算。</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152.30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w:t>
      </w:r>
      <w:r>
        <w:rPr>
          <w:rFonts w:hint="default" w:ascii="Times New Roman" w:hAnsi="Times New Roman" w:eastAsia="方正仿宋_GBK" w:cs="Times New Roman"/>
          <w:sz w:val="32"/>
          <w:szCs w:val="32"/>
          <w:highlight w:val="none"/>
          <w:shd w:val="clear" w:color="auto" w:fill="FFFFFF"/>
        </w:rPr>
        <w:t>。此外，使用非财政拨款结余（含专用结余）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152.30</w:t>
      </w:r>
      <w:r>
        <w:rPr>
          <w:rFonts w:hint="default" w:ascii="Times New Roman" w:hAnsi="Times New Roman" w:eastAsia="方正仿宋_GBK" w:cs="Times New Roman"/>
          <w:sz w:val="32"/>
          <w:szCs w:val="32"/>
          <w:shd w:val="clear" w:color="auto" w:fill="FFFFFF"/>
        </w:rPr>
        <w:t>万元，与2023年度相比，增加152.30万元，增长100.0%，主要原因是</w:t>
      </w:r>
      <w:r>
        <w:rPr>
          <w:rFonts w:hint="default" w:ascii="Times New Roman" w:hAnsi="Times New Roman" w:eastAsia="方正仿宋_GBK" w:cs="Times New Roman"/>
          <w:sz w:val="32"/>
          <w:szCs w:val="32"/>
          <w:shd w:val="clear" w:color="auto" w:fill="FFFFFF"/>
          <w:lang w:val="en-US" w:eastAsia="zh-CN"/>
        </w:rPr>
        <w:t>2023年在局机关本级进行决算，2024年按相关规定作为独立法人单位进行决算。</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74.88</w:t>
      </w:r>
      <w:r>
        <w:rPr>
          <w:rFonts w:hint="default" w:ascii="Times New Roman" w:hAnsi="Times New Roman" w:eastAsia="方正仿宋_GBK" w:cs="Times New Roman"/>
          <w:sz w:val="32"/>
          <w:szCs w:val="32"/>
          <w:shd w:val="clear" w:color="auto" w:fill="FFFFFF"/>
        </w:rPr>
        <w:t>万元，占49.2%；项目支出</w:t>
      </w:r>
      <w:r>
        <w:rPr>
          <w:rFonts w:hint="default" w:ascii="Times New Roman" w:hAnsi="Times New Roman" w:eastAsia="方正仿宋_GBK" w:cs="Times New Roman"/>
          <w:sz w:val="32"/>
          <w:szCs w:val="32"/>
        </w:rPr>
        <w:t>77.42</w:t>
      </w:r>
      <w:r>
        <w:rPr>
          <w:rFonts w:hint="default" w:ascii="Times New Roman" w:hAnsi="Times New Roman" w:eastAsia="方正仿宋_GBK" w:cs="Times New Roman"/>
          <w:sz w:val="32"/>
          <w:szCs w:val="32"/>
          <w:shd w:val="clear" w:color="auto" w:fill="FFFFFF"/>
        </w:rPr>
        <w:t>万元，占50.8%；经营支出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lang w:eastAsia="zh-CN"/>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val="en-US" w:eastAsia="zh-CN"/>
        </w:rPr>
        <w:t>变化</w:t>
      </w:r>
      <w:r>
        <w:rPr>
          <w:rFonts w:hint="default" w:ascii="Times New Roman" w:hAnsi="Times New Roman" w:eastAsia="方正仿宋_GBK" w:cs="Times New Roman"/>
          <w:sz w:val="32"/>
          <w:szCs w:val="32"/>
          <w:shd w:val="clear" w:color="auto" w:fill="FFFFFF"/>
          <w:lang w:eastAsia="zh-CN"/>
        </w:rPr>
        <w:t>。</w:t>
      </w:r>
    </w:p>
    <w:p>
      <w:pPr>
        <w:pStyle w:val="11"/>
        <w:autoSpaceDE w:val="0"/>
        <w:spacing w:line="594" w:lineRule="exact"/>
        <w:ind w:firstLine="643"/>
        <w:rPr>
          <w:rFonts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度财政拨款收、支总计152.30万元。与202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年相比，财政拨款收、支总计各增加152.30万元，增长100.0%。主要原因是</w:t>
      </w:r>
      <w:r>
        <w:rPr>
          <w:rFonts w:hint="default" w:ascii="Times New Roman" w:hAnsi="Times New Roman" w:eastAsia="方正仿宋_GBK" w:cs="Times New Roman"/>
          <w:sz w:val="32"/>
          <w:szCs w:val="32"/>
          <w:shd w:val="clear" w:color="auto" w:fill="FFFFFF"/>
          <w:lang w:val="en-US" w:eastAsia="zh-CN"/>
        </w:rPr>
        <w:t>2023年在局机关本级进行决算，2024年按相关规定作为独立法人单位进行决算。</w:t>
      </w:r>
    </w:p>
    <w:p>
      <w:pPr>
        <w:pStyle w:val="11"/>
        <w:autoSpaceDE w:val="0"/>
        <w:spacing w:line="594" w:lineRule="exact"/>
        <w:ind w:firstLine="643"/>
        <w:rPr>
          <w:rFonts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auto"/>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152.30</w:t>
      </w:r>
      <w:r>
        <w:rPr>
          <w:rFonts w:hint="default" w:ascii="Times New Roman" w:hAnsi="Times New Roman" w:eastAsia="方正仿宋_GBK" w:cs="Times New Roman"/>
          <w:sz w:val="32"/>
          <w:szCs w:val="32"/>
          <w:shd w:val="clear" w:color="auto" w:fill="FFFFFF"/>
        </w:rPr>
        <w:t>万元，与2023年度相比，增加152.30万元，增长100.0%。主要原因是</w:t>
      </w:r>
      <w:r>
        <w:rPr>
          <w:rFonts w:hint="default" w:ascii="Times New Roman" w:hAnsi="Times New Roman" w:eastAsia="方正仿宋_GBK" w:cs="Times New Roman"/>
          <w:sz w:val="32"/>
          <w:szCs w:val="32"/>
          <w:shd w:val="clear" w:color="auto" w:fill="FFFFFF"/>
          <w:lang w:val="en-US" w:eastAsia="zh-CN"/>
        </w:rPr>
        <w:t>2023年在局机关本级进行决算，2024年按相关规定作为独立法人单位进行决算。</w:t>
      </w:r>
      <w:r>
        <w:rPr>
          <w:rFonts w:hint="default" w:ascii="Times New Roman" w:hAnsi="Times New Roman" w:eastAsia="方正仿宋_GBK" w:cs="Times New Roman"/>
          <w:sz w:val="32"/>
          <w:szCs w:val="32"/>
          <w:shd w:val="clear" w:color="auto" w:fill="FFFFFF"/>
        </w:rPr>
        <w:t>较年初预算数减少8.67万元，下降5.4%。主要原因</w:t>
      </w:r>
      <w:r>
        <w:rPr>
          <w:rFonts w:hint="default" w:ascii="Times New Roman" w:hAnsi="Times New Roman" w:eastAsia="方正仿宋_GBK" w:cs="Times New Roman"/>
          <w:color w:val="auto"/>
          <w:sz w:val="32"/>
          <w:szCs w:val="32"/>
          <w:shd w:val="clear" w:color="auto" w:fill="FFFFFF"/>
        </w:rPr>
        <w:t>是</w:t>
      </w:r>
      <w:r>
        <w:rPr>
          <w:rFonts w:hint="default" w:ascii="Times New Roman" w:hAnsi="Times New Roman" w:eastAsia="方正仿宋_GBK" w:cs="Times New Roman"/>
          <w:color w:val="auto"/>
          <w:sz w:val="32"/>
          <w:szCs w:val="32"/>
          <w:shd w:val="clear" w:color="auto" w:fill="FFFFFF"/>
          <w:lang w:val="en-US" w:eastAsia="zh-CN"/>
        </w:rPr>
        <w:t>机构改革人员发生变化。</w:t>
      </w:r>
      <w:r>
        <w:rPr>
          <w:rFonts w:hint="default" w:ascii="Times New Roman" w:hAnsi="Times New Roman" w:eastAsia="方正仿宋_GBK" w:cs="Times New Roman"/>
          <w:color w:val="auto"/>
          <w:sz w:val="32"/>
          <w:szCs w:val="32"/>
          <w:shd w:val="clear" w:color="auto" w:fill="FFFFFF"/>
        </w:rPr>
        <w:t>此外，年初财政拨款结转和结余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152.30</w:t>
      </w:r>
      <w:r>
        <w:rPr>
          <w:rFonts w:hint="default" w:ascii="Times New Roman" w:hAnsi="Times New Roman" w:eastAsia="方正仿宋_GBK" w:cs="Times New Roman"/>
          <w:sz w:val="32"/>
          <w:szCs w:val="32"/>
          <w:shd w:val="clear" w:color="auto" w:fill="FFFFFF"/>
        </w:rPr>
        <w:t>万元，与2023年度相比，增加152.30万元，增长100.0%。主要原因是</w:t>
      </w:r>
      <w:r>
        <w:rPr>
          <w:rFonts w:hint="default" w:ascii="Times New Roman" w:hAnsi="Times New Roman" w:eastAsia="方正仿宋_GBK" w:cs="Times New Roman"/>
          <w:sz w:val="32"/>
          <w:szCs w:val="32"/>
          <w:shd w:val="clear" w:color="auto" w:fill="FFFFFF"/>
          <w:lang w:val="en-US" w:eastAsia="zh-CN"/>
        </w:rPr>
        <w:t>2023年在局机关本级进行决算，2024年按相关规定作为独立法人单位进行决算。</w:t>
      </w:r>
      <w:r>
        <w:rPr>
          <w:rFonts w:hint="default" w:ascii="Times New Roman" w:hAnsi="Times New Roman" w:eastAsia="方正仿宋_GBK" w:cs="Times New Roman"/>
          <w:sz w:val="32"/>
          <w:szCs w:val="32"/>
          <w:shd w:val="clear" w:color="auto" w:fill="FFFFFF"/>
        </w:rPr>
        <w:t>较年初预算数减少8.67万元，下降5.4%。主要原因是</w:t>
      </w:r>
      <w:r>
        <w:rPr>
          <w:rFonts w:hint="default" w:ascii="Times New Roman" w:hAnsi="Times New Roman" w:eastAsia="方正仿宋_GBK" w:cs="Times New Roman"/>
          <w:color w:val="auto"/>
          <w:sz w:val="32"/>
          <w:szCs w:val="32"/>
          <w:shd w:val="clear" w:color="auto" w:fill="FFFFFF"/>
          <w:lang w:val="en-US" w:eastAsia="zh-CN"/>
        </w:rPr>
        <w:t>机构改革人员发生变化。</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lang w:eastAsia="zh-CN"/>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val="en-US" w:eastAsia="zh-CN"/>
        </w:rPr>
        <w:t>变化。</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w:t>
      </w:r>
      <w:r>
        <w:rPr>
          <w:rFonts w:hint="default" w:ascii="Times New Roman" w:hAnsi="Times New Roman" w:eastAsia="方正仿宋_GBK" w:cs="Times New Roman"/>
          <w:sz w:val="32"/>
          <w:szCs w:val="32"/>
          <w:highlight w:val="none"/>
          <w:shd w:val="clear" w:color="auto" w:fill="FFFFFF"/>
        </w:rPr>
        <w:t>保障</w:t>
      </w:r>
      <w:r>
        <w:rPr>
          <w:rFonts w:hint="default" w:ascii="Times New Roman" w:hAnsi="Times New Roman" w:eastAsia="方正仿宋_GBK" w:cs="Times New Roman"/>
          <w:sz w:val="32"/>
          <w:szCs w:val="32"/>
          <w:highlight w:val="none"/>
          <w:shd w:val="clear" w:color="auto" w:fill="FFFFFF"/>
          <w:lang w:eastAsia="zh-CN"/>
        </w:rPr>
        <w:t>和</w:t>
      </w:r>
      <w:r>
        <w:rPr>
          <w:rFonts w:hint="default" w:ascii="Times New Roman" w:hAnsi="Times New Roman" w:eastAsia="方正仿宋_GBK" w:cs="Times New Roman"/>
          <w:sz w:val="32"/>
          <w:szCs w:val="32"/>
          <w:highlight w:val="none"/>
          <w:shd w:val="clear" w:color="auto" w:fill="FFFFFF"/>
        </w:rPr>
        <w:t>就业支</w:t>
      </w:r>
      <w:r>
        <w:rPr>
          <w:rFonts w:hint="default" w:ascii="Times New Roman" w:hAnsi="Times New Roman" w:eastAsia="方正仿宋_GBK" w:cs="Times New Roman"/>
          <w:sz w:val="32"/>
          <w:szCs w:val="32"/>
          <w:shd w:val="clear" w:color="auto" w:fill="FFFFFF"/>
        </w:rPr>
        <w:t>出</w:t>
      </w:r>
      <w:r>
        <w:rPr>
          <w:rFonts w:hint="default" w:ascii="Times New Roman" w:hAnsi="Times New Roman" w:eastAsia="方正仿宋_GBK" w:cs="Times New Roman"/>
          <w:sz w:val="32"/>
          <w:szCs w:val="32"/>
        </w:rPr>
        <w:t>145.36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95.5%</w:t>
      </w:r>
      <w:r>
        <w:rPr>
          <w:rFonts w:hint="default" w:ascii="Times New Roman" w:hAnsi="Times New Roman" w:eastAsia="方正仿宋_GBK" w:cs="Times New Roman"/>
          <w:sz w:val="32"/>
          <w:szCs w:val="32"/>
          <w:shd w:val="clear" w:color="auto" w:fill="FFFFFF"/>
        </w:rPr>
        <w:t>，较年初预算数减少8.45万元，下降5.5%，主要原因是人员变化及项目救助帮扶对象人数减少</w:t>
      </w:r>
      <w:r>
        <w:rPr>
          <w:rFonts w:hint="default" w:ascii="Times New Roman" w:hAnsi="Times New Roman" w:eastAsia="方正仿宋_GBK" w:cs="Times New Roman"/>
          <w:sz w:val="32"/>
          <w:szCs w:val="32"/>
          <w:shd w:val="clear" w:color="auto" w:fill="FFFFFF"/>
          <w:lang w:val="en-US" w:eastAsia="zh-CN"/>
        </w:rPr>
        <w:t>。</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3.65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2.4%</w:t>
      </w:r>
      <w:r>
        <w:rPr>
          <w:rFonts w:hint="default" w:ascii="Times New Roman" w:hAnsi="Times New Roman" w:eastAsia="方正仿宋_GBK" w:cs="Times New Roman"/>
          <w:sz w:val="32"/>
          <w:szCs w:val="32"/>
          <w:shd w:val="clear" w:color="auto" w:fill="FFFFFF"/>
        </w:rPr>
        <w:t>，较年初预算数增加0.23万元，增长6.7%，主要原因是人员变化导致</w:t>
      </w:r>
      <w:r>
        <w:rPr>
          <w:rFonts w:hint="default" w:ascii="Times New Roman" w:hAnsi="Times New Roman" w:eastAsia="方正仿宋_GBK" w:cs="Times New Roman"/>
          <w:sz w:val="32"/>
          <w:szCs w:val="32"/>
          <w:shd w:val="clear" w:color="auto" w:fill="FFFFFF"/>
          <w:lang w:val="en-US" w:eastAsia="zh-CN"/>
        </w:rPr>
        <w:t>缴费基数发生变化。</w:t>
      </w:r>
    </w:p>
    <w:p>
      <w:pPr>
        <w:spacing w:line="594" w:lineRule="exact"/>
        <w:ind w:firstLine="640" w:firstLineChars="200"/>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住房保障支出3.29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2.2%</w:t>
      </w:r>
      <w:r>
        <w:rPr>
          <w:rFonts w:hint="default" w:ascii="Times New Roman" w:hAnsi="Times New Roman" w:eastAsia="方正仿宋_GBK" w:cs="Times New Roman"/>
          <w:sz w:val="32"/>
          <w:szCs w:val="32"/>
          <w:shd w:val="clear" w:color="auto" w:fill="FFFFFF"/>
        </w:rPr>
        <w:t>，较年初预算数减少0.04万元，下降1.2%，主要原因是人员变化导致</w:t>
      </w:r>
      <w:r>
        <w:rPr>
          <w:rFonts w:hint="default" w:ascii="Times New Roman" w:hAnsi="Times New Roman" w:eastAsia="方正仿宋_GBK" w:cs="Times New Roman"/>
          <w:sz w:val="32"/>
          <w:szCs w:val="32"/>
          <w:shd w:val="clear" w:color="auto" w:fill="FFFFFF"/>
          <w:lang w:val="en-US" w:eastAsia="zh-CN"/>
        </w:rPr>
        <w:t>缴费基数发生变化。</w:t>
      </w:r>
    </w:p>
    <w:p>
      <w:pPr>
        <w:pStyle w:val="11"/>
        <w:autoSpaceDE w:val="0"/>
        <w:spacing w:line="594" w:lineRule="exact"/>
        <w:ind w:firstLine="643"/>
        <w:rPr>
          <w:rFonts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度一般公共预算财政拨款基本支出</w:t>
      </w:r>
      <w:r>
        <w:rPr>
          <w:rFonts w:hint="default" w:ascii="Times New Roman" w:hAnsi="Times New Roman" w:eastAsia="方正仿宋_GBK" w:cs="Times New Roman"/>
          <w:sz w:val="32"/>
          <w:szCs w:val="32"/>
        </w:rPr>
        <w:t>74.88</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66.26</w:t>
      </w:r>
      <w:r>
        <w:rPr>
          <w:rFonts w:hint="default" w:ascii="Times New Roman" w:hAnsi="Times New Roman" w:eastAsia="方正仿宋_GBK" w:cs="Times New Roman"/>
          <w:sz w:val="32"/>
          <w:szCs w:val="32"/>
          <w:shd w:val="clear" w:color="auto" w:fill="FFFFFF"/>
        </w:rPr>
        <w:t>万元，与2023年度相比，增加66.26万元，增长100.0%，主要原因是</w:t>
      </w:r>
      <w:r>
        <w:rPr>
          <w:rFonts w:hint="default" w:ascii="Times New Roman" w:hAnsi="Times New Roman" w:eastAsia="方正仿宋_GBK" w:cs="Times New Roman"/>
          <w:sz w:val="32"/>
          <w:szCs w:val="32"/>
          <w:shd w:val="clear" w:color="auto" w:fill="FFFFFF"/>
          <w:lang w:val="en-US" w:eastAsia="zh-CN"/>
        </w:rPr>
        <w:t>2023年在局机关本级进行决算，2024年按相关规定作为独立法人单位进行决算。</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color w:val="auto"/>
          <w:sz w:val="32"/>
          <w:szCs w:val="32"/>
          <w:shd w:val="clear" w:color="auto" w:fill="FFFFFF"/>
          <w:lang w:val="en-US" w:eastAsia="zh-CN"/>
        </w:rPr>
        <w:t>基本工资、</w:t>
      </w:r>
      <w:r>
        <w:rPr>
          <w:rFonts w:hint="default" w:ascii="Times New Roman" w:hAnsi="Times New Roman" w:eastAsia="方正仿宋_GBK" w:cs="Times New Roman"/>
          <w:color w:val="auto"/>
          <w:sz w:val="32"/>
          <w:szCs w:val="32"/>
          <w:shd w:val="clear" w:color="auto" w:fill="FFFFFF"/>
          <w:lang w:eastAsia="zh-CN"/>
        </w:rPr>
        <w:t>社保、住房公积金、</w:t>
      </w:r>
      <w:r>
        <w:rPr>
          <w:rFonts w:hint="default" w:ascii="Times New Roman" w:hAnsi="Times New Roman" w:eastAsia="方正仿宋_GBK" w:cs="Times New Roman"/>
          <w:color w:val="auto"/>
          <w:sz w:val="32"/>
          <w:szCs w:val="32"/>
          <w:shd w:val="clear" w:color="auto" w:fill="FFFFFF"/>
          <w:lang w:val="en-US" w:eastAsia="zh-CN"/>
        </w:rPr>
        <w:t>超额绩效等。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8.62</w:t>
      </w:r>
      <w:r>
        <w:rPr>
          <w:rFonts w:hint="default" w:ascii="Times New Roman" w:hAnsi="Times New Roman" w:eastAsia="方正仿宋_GBK" w:cs="Times New Roman"/>
          <w:sz w:val="32"/>
          <w:szCs w:val="32"/>
          <w:shd w:val="clear" w:color="auto" w:fill="FFFFFF"/>
        </w:rPr>
        <w:t>万元，与2023年度相比，增加8.62万元，增长100.0%，主要原因是</w:t>
      </w:r>
      <w:r>
        <w:rPr>
          <w:rFonts w:hint="default" w:ascii="Times New Roman" w:hAnsi="Times New Roman" w:eastAsia="方正仿宋_GBK" w:cs="Times New Roman"/>
          <w:sz w:val="32"/>
          <w:szCs w:val="32"/>
          <w:shd w:val="clear" w:color="auto" w:fill="FFFFFF"/>
          <w:lang w:val="en-US" w:eastAsia="zh-CN"/>
        </w:rPr>
        <w:t>2023年在局机关本级进行决算，2024年按相关规定作为独立法人单位进行决算。</w:t>
      </w:r>
      <w:r>
        <w:rPr>
          <w:rFonts w:hint="default" w:ascii="Times New Roman" w:hAnsi="Times New Roman" w:eastAsia="方正仿宋_GBK" w:cs="Times New Roman"/>
          <w:sz w:val="32"/>
          <w:szCs w:val="32"/>
          <w:shd w:val="clear" w:color="auto" w:fill="FFFFFF"/>
        </w:rPr>
        <w:t>公用</w:t>
      </w:r>
      <w:r>
        <w:rPr>
          <w:rFonts w:hint="default" w:ascii="Times New Roman" w:hAnsi="Times New Roman" w:eastAsia="方正仿宋_GBK" w:cs="Times New Roman"/>
          <w:color w:val="auto"/>
          <w:sz w:val="32"/>
          <w:szCs w:val="32"/>
          <w:shd w:val="clear" w:color="auto" w:fill="FFFFFF"/>
        </w:rPr>
        <w:t>经费用途主要包括</w:t>
      </w:r>
      <w:r>
        <w:rPr>
          <w:rFonts w:hint="default" w:ascii="Times New Roman" w:hAnsi="Times New Roman" w:eastAsia="方正仿宋_GBK" w:cs="Times New Roman"/>
          <w:color w:val="auto"/>
          <w:sz w:val="32"/>
          <w:szCs w:val="32"/>
          <w:shd w:val="clear" w:color="auto" w:fill="FFFFFF"/>
          <w:lang w:val="en-US" w:eastAsia="zh-CN"/>
        </w:rPr>
        <w:t>办公费、公务接待费</w:t>
      </w:r>
      <w:r>
        <w:rPr>
          <w:rFonts w:hint="default" w:ascii="Times New Roman" w:hAnsi="Times New Roman" w:eastAsia="方正仿宋_GBK" w:cs="Times New Roman"/>
          <w:color w:val="auto"/>
          <w:sz w:val="32"/>
          <w:szCs w:val="32"/>
          <w:shd w:val="clear" w:color="auto" w:fill="FFFFFF"/>
          <w:lang w:eastAsia="zh-CN"/>
        </w:rPr>
        <w:t>、邮电费</w:t>
      </w:r>
      <w:r>
        <w:rPr>
          <w:rFonts w:hint="default" w:ascii="Times New Roman" w:hAnsi="Times New Roman" w:eastAsia="方正仿宋_GBK" w:cs="Times New Roman"/>
          <w:color w:val="auto"/>
          <w:sz w:val="32"/>
          <w:szCs w:val="32"/>
          <w:shd w:val="clear" w:color="auto" w:fill="FFFFFF"/>
          <w:lang w:val="en-US" w:eastAsia="zh-CN"/>
        </w:rPr>
        <w:t>等。</w:t>
      </w:r>
    </w:p>
    <w:p>
      <w:pPr>
        <w:pStyle w:val="11"/>
        <w:autoSpaceDE w:val="0"/>
        <w:spacing w:line="594" w:lineRule="exact"/>
        <w:ind w:firstLine="643"/>
        <w:rPr>
          <w:rFonts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val="en-US" w:eastAsia="zh-CN"/>
        </w:rPr>
        <w:t>变化。</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val="en-US" w:eastAsia="zh-CN"/>
        </w:rPr>
        <w:t>变化。</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度无政府性基金预算财政拨款收支。</w:t>
      </w:r>
    </w:p>
    <w:p>
      <w:pPr>
        <w:pStyle w:val="11"/>
        <w:autoSpaceDE w:val="0"/>
        <w:spacing w:line="594" w:lineRule="exact"/>
        <w:ind w:firstLine="643"/>
        <w:rPr>
          <w:rFonts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度国有资本经营预算财政拨款本年支出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度无国有资本经营预算财政拨款支出。</w:t>
      </w:r>
    </w:p>
    <w:p>
      <w:pPr>
        <w:pStyle w:val="6"/>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Times New Roman" w:hAnsi="Times New Roman" w:eastAsia="黑体" w:cs="Times New Roman"/>
          <w:b w:val="0"/>
          <w:bCs/>
          <w:sz w:val="32"/>
          <w:szCs w:val="32"/>
          <w:shd w:val="clear" w:color="auto" w:fill="FFFFFF"/>
        </w:rPr>
      </w:pPr>
      <w:r>
        <w:rPr>
          <w:rStyle w:val="10"/>
          <w:rFonts w:hint="default" w:ascii="Times New Roman" w:hAnsi="Times New Roman" w:eastAsia="黑体" w:cs="Times New Roman"/>
          <w:b w:val="0"/>
          <w:bCs/>
          <w:sz w:val="32"/>
          <w:szCs w:val="32"/>
          <w:shd w:val="clear" w:color="auto" w:fill="FFFFFF"/>
        </w:rPr>
        <w:t>三、</w:t>
      </w:r>
      <w:r>
        <w:rPr>
          <w:rStyle w:val="10"/>
          <w:rFonts w:hint="default" w:ascii="Times New Roman" w:hAnsi="Times New Roman" w:eastAsia="黑体" w:cs="Times New Roman"/>
          <w:b w:val="0"/>
          <w:bCs/>
          <w:sz w:val="32"/>
          <w:szCs w:val="32"/>
          <w:shd w:val="clear" w:color="auto" w:fill="FFFFFF"/>
          <w:lang w:eastAsia="zh-CN"/>
        </w:rPr>
        <w:t>财政拨款</w:t>
      </w:r>
      <w:r>
        <w:rPr>
          <w:rStyle w:val="10"/>
          <w:rFonts w:hint="default" w:ascii="Times New Roman" w:hAnsi="Times New Roman" w:eastAsia="黑体" w:cs="Times New Roman"/>
          <w:b w:val="0"/>
          <w:bCs/>
          <w:sz w:val="32"/>
          <w:szCs w:val="32"/>
          <w:shd w:val="clear" w:color="auto" w:fill="FFFFFF"/>
        </w:rPr>
        <w:t>“三公”经费情况说明</w:t>
      </w:r>
    </w:p>
    <w:p>
      <w:pPr>
        <w:pStyle w:val="11"/>
        <w:autoSpaceDE w:val="0"/>
        <w:spacing w:line="594" w:lineRule="exact"/>
        <w:ind w:firstLine="643"/>
        <w:rPr>
          <w:rFonts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万元，较年初预算数无增减，主要原因是</w:t>
      </w:r>
      <w:r>
        <w:rPr>
          <w:rFonts w:hint="default" w:ascii="Times New Roman" w:hAnsi="Times New Roman" w:eastAsia="方正仿宋_GBK" w:cs="Times New Roman"/>
          <w:sz w:val="32"/>
          <w:szCs w:val="32"/>
          <w:shd w:val="clear" w:color="auto" w:fill="FFFFFF"/>
          <w:lang w:val="en-US" w:eastAsia="zh-CN"/>
        </w:rPr>
        <w:t>未产生三公经费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val="en-US" w:eastAsia="zh-CN"/>
        </w:rPr>
        <w:t>变化。</w:t>
      </w:r>
    </w:p>
    <w:p>
      <w:pPr>
        <w:pStyle w:val="11"/>
        <w:autoSpaceDE w:val="0"/>
        <w:spacing w:line="594" w:lineRule="exact"/>
        <w:ind w:firstLine="643"/>
        <w:rPr>
          <w:rFonts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rPr>
        <w:t>无</w:t>
      </w:r>
      <w:r>
        <w:rPr>
          <w:rFonts w:hint="default" w:ascii="Times New Roman" w:hAnsi="Times New Roman" w:eastAsia="方正仿宋_GBK" w:cs="Times New Roman"/>
          <w:sz w:val="32"/>
          <w:szCs w:val="32"/>
          <w:shd w:val="clear" w:color="auto" w:fill="FFFFFF"/>
        </w:rPr>
        <w:t>因公出国（境）</w:t>
      </w:r>
      <w:r>
        <w:rPr>
          <w:rFonts w:hint="default" w:ascii="Times New Roman" w:hAnsi="Times New Roman" w:eastAsia="方正仿宋_GBK" w:cs="Times New Roman"/>
          <w:sz w:val="32"/>
          <w:szCs w:val="32"/>
          <w:shd w:val="clear" w:color="auto" w:fill="FFFFFF"/>
          <w:lang w:val="en-US" w:eastAsia="zh-CN"/>
        </w:rPr>
        <w:t>人员。</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val="en-US" w:eastAsia="zh-CN"/>
        </w:rPr>
        <w:t>变化。</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lang w:val="en-US" w:eastAsia="zh-CN"/>
        </w:rPr>
        <w:t>变化。</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highlight w:val="none"/>
          <w:shd w:val="clear" w:color="auto" w:fill="FFFFFF"/>
        </w:rPr>
        <w:t>公务</w:t>
      </w:r>
      <w:r>
        <w:rPr>
          <w:rFonts w:hint="default" w:ascii="Times New Roman" w:hAnsi="Times New Roman" w:eastAsia="方正仿宋_GBK" w:cs="Times New Roman"/>
          <w:sz w:val="32"/>
          <w:szCs w:val="32"/>
          <w:highlight w:val="none"/>
          <w:shd w:val="clear" w:color="auto" w:fill="FFFFFF"/>
          <w:lang w:eastAsia="zh-CN"/>
        </w:rPr>
        <w:t>用</w:t>
      </w:r>
      <w:r>
        <w:rPr>
          <w:rFonts w:hint="default" w:ascii="Times New Roman" w:hAnsi="Times New Roman" w:eastAsia="方正仿宋_GBK" w:cs="Times New Roman"/>
          <w:sz w:val="32"/>
          <w:szCs w:val="32"/>
          <w:highlight w:val="none"/>
          <w:shd w:val="clear" w:color="auto" w:fill="FFFFFF"/>
        </w:rPr>
        <w:t>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rPr>
        <w:t>本年度未购置车辆</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val="en-US" w:eastAsia="zh-CN"/>
        </w:rPr>
        <w:t>变化</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val="en-US" w:eastAsia="zh-CN"/>
        </w:rPr>
        <w:t>变化</w:t>
      </w:r>
      <w:r>
        <w:rPr>
          <w:rFonts w:hint="default" w:ascii="Times New Roman" w:hAnsi="Times New Roman" w:eastAsia="方正仿宋_GBK" w:cs="Times New Roman"/>
          <w:sz w:val="32"/>
          <w:szCs w:val="32"/>
          <w:shd w:val="clear" w:color="auto" w:fill="FFFFFF"/>
        </w:rPr>
        <w:t>。</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w:t>
      </w:r>
      <w:r>
        <w:rPr>
          <w:rFonts w:hint="default" w:ascii="Times New Roman" w:hAnsi="Times New Roman" w:eastAsia="方正仿宋_GBK" w:cs="Times New Roman"/>
          <w:sz w:val="32"/>
          <w:szCs w:val="32"/>
          <w:highlight w:val="none"/>
          <w:shd w:val="clear" w:color="auto" w:fill="FFFFFF"/>
        </w:rPr>
        <w:t>务</w:t>
      </w:r>
      <w:r>
        <w:rPr>
          <w:rFonts w:hint="default" w:ascii="Times New Roman" w:hAnsi="Times New Roman" w:eastAsia="方正仿宋_GBK" w:cs="Times New Roman"/>
          <w:sz w:val="32"/>
          <w:szCs w:val="32"/>
          <w:highlight w:val="none"/>
          <w:shd w:val="clear" w:color="auto" w:fill="FFFFFF"/>
          <w:lang w:eastAsia="zh-CN"/>
        </w:rPr>
        <w:t>用</w:t>
      </w:r>
      <w:r>
        <w:rPr>
          <w:rFonts w:hint="default" w:ascii="Times New Roman" w:hAnsi="Times New Roman" w:eastAsia="方正仿宋_GBK" w:cs="Times New Roman"/>
          <w:sz w:val="32"/>
          <w:szCs w:val="32"/>
          <w:highlight w:val="none"/>
          <w:shd w:val="clear" w:color="auto" w:fill="FFFFFF"/>
        </w:rPr>
        <w:t>车运</w:t>
      </w:r>
      <w:r>
        <w:rPr>
          <w:rFonts w:hint="default" w:ascii="Times New Roman" w:hAnsi="Times New Roman" w:eastAsia="方正仿宋_GBK" w:cs="Times New Roman"/>
          <w:sz w:val="32"/>
          <w:szCs w:val="32"/>
          <w:shd w:val="clear" w:color="auto" w:fill="FFFFFF"/>
        </w:rPr>
        <w:t>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rPr>
        <w:t>无维护费产生。</w:t>
      </w:r>
      <w:r>
        <w:rPr>
          <w:rFonts w:hint="default" w:ascii="Times New Roman" w:hAnsi="Times New Roman" w:eastAsia="方正仿宋_GBK" w:cs="Times New Roman"/>
          <w:sz w:val="32"/>
          <w:szCs w:val="32"/>
          <w:shd w:val="clear" w:color="auto" w:fill="FFFFFF"/>
        </w:rPr>
        <w:t>费用支出较年初预算数无</w:t>
      </w:r>
      <w:r>
        <w:rPr>
          <w:rFonts w:hint="default" w:ascii="Times New Roman" w:hAnsi="Times New Roman" w:eastAsia="方正仿宋_GBK" w:cs="Times New Roman"/>
          <w:sz w:val="32"/>
          <w:szCs w:val="32"/>
          <w:shd w:val="clear" w:color="auto" w:fill="FFFFFF"/>
          <w:lang w:val="en-US" w:eastAsia="zh-CN"/>
        </w:rPr>
        <w:t>增减变化。</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lang w:val="en-US" w:eastAsia="zh-CN"/>
        </w:rPr>
        <w:t>变化。</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shd w:val="clear" w:color="auto" w:fill="FFFFFF"/>
          <w:lang w:val="en-US" w:eastAsia="zh-CN"/>
        </w:rPr>
        <w:t>无公务接待费发生。</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val="en-US" w:eastAsia="zh-CN"/>
        </w:rPr>
        <w:t>变化。</w:t>
      </w:r>
    </w:p>
    <w:p>
      <w:pPr>
        <w:pStyle w:val="11"/>
        <w:autoSpaceDE w:val="0"/>
        <w:spacing w:line="594" w:lineRule="exact"/>
        <w:ind w:firstLine="643"/>
        <w:rPr>
          <w:rFonts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w:t>
      </w:r>
      <w:r>
        <w:rPr>
          <w:rFonts w:hint="default" w:ascii="Times New Roman" w:hAnsi="Times New Roman" w:eastAsia="方正仿宋_GBK" w:cs="Times New Roman"/>
          <w:sz w:val="32"/>
          <w:szCs w:val="32"/>
          <w:highlight w:val="none"/>
          <w:shd w:val="clear" w:color="auto" w:fill="FFFFFF"/>
        </w:rPr>
        <w:t>，公务</w:t>
      </w:r>
      <w:r>
        <w:rPr>
          <w:rFonts w:hint="default" w:ascii="Times New Roman" w:hAnsi="Times New Roman" w:eastAsia="方正仿宋_GBK" w:cs="Times New Roman"/>
          <w:sz w:val="32"/>
          <w:szCs w:val="32"/>
          <w:highlight w:val="none"/>
          <w:shd w:val="clear" w:color="auto" w:fill="FFFFFF"/>
          <w:lang w:eastAsia="zh-CN"/>
        </w:rPr>
        <w:t>用</w:t>
      </w:r>
      <w:r>
        <w:rPr>
          <w:rFonts w:hint="default" w:ascii="Times New Roman" w:hAnsi="Times New Roman" w:eastAsia="方正仿宋_GBK" w:cs="Times New Roman"/>
          <w:sz w:val="32"/>
          <w:szCs w:val="32"/>
          <w:highlight w:val="none"/>
          <w:shd w:val="clear" w:color="auto" w:fill="FFFFFF"/>
        </w:rPr>
        <w:t>车</w:t>
      </w:r>
      <w:r>
        <w:rPr>
          <w:rFonts w:hint="default" w:ascii="Times New Roman" w:hAnsi="Times New Roman" w:eastAsia="方正仿宋_GBK" w:cs="Times New Roman"/>
          <w:sz w:val="32"/>
          <w:szCs w:val="32"/>
          <w:shd w:val="clear" w:color="auto" w:fill="FFFFFF"/>
        </w:rPr>
        <w:t>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Times New Roman" w:hAnsi="Times New Roman" w:eastAsia="黑体" w:cs="Times New Roman"/>
          <w:b w:val="0"/>
          <w:bCs/>
          <w:sz w:val="32"/>
          <w:szCs w:val="32"/>
          <w:shd w:val="clear" w:color="auto" w:fill="FFFFFF"/>
        </w:rPr>
      </w:pPr>
      <w:r>
        <w:rPr>
          <w:rStyle w:val="10"/>
          <w:rFonts w:hint="default" w:ascii="Times New Roman" w:hAnsi="Times New Roman" w:eastAsia="黑体" w:cs="Times New Roman"/>
          <w:b w:val="0"/>
          <w:bCs/>
          <w:sz w:val="32"/>
          <w:szCs w:val="32"/>
          <w:shd w:val="clear" w:color="auto" w:fill="FFFFFF"/>
        </w:rPr>
        <w:t>四、其他需要说明的事项</w:t>
      </w:r>
    </w:p>
    <w:p>
      <w:pPr>
        <w:pStyle w:val="11"/>
        <w:autoSpaceDE w:val="0"/>
        <w:spacing w:line="594" w:lineRule="exact"/>
        <w:ind w:firstLine="643"/>
        <w:rPr>
          <w:rFonts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val="en-US" w:eastAsia="zh-CN"/>
        </w:rPr>
        <w:t>变化</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0.01</w:t>
      </w:r>
      <w:r>
        <w:rPr>
          <w:rFonts w:hint="default" w:ascii="Times New Roman" w:hAnsi="Times New Roman" w:eastAsia="方正仿宋_GBK" w:cs="Times New Roman"/>
          <w:sz w:val="32"/>
          <w:szCs w:val="32"/>
          <w:shd w:val="clear" w:color="auto" w:fill="FFFFFF"/>
        </w:rPr>
        <w:t>万元，与2023年度相比，增加0.01万元，增长100.0%，主要原因是</w:t>
      </w:r>
      <w:r>
        <w:rPr>
          <w:rFonts w:hint="default" w:ascii="Times New Roman" w:hAnsi="Times New Roman" w:eastAsia="方正仿宋_GBK" w:cs="Times New Roman"/>
          <w:sz w:val="32"/>
          <w:szCs w:val="32"/>
          <w:shd w:val="clear" w:color="auto" w:fill="FFFFFF"/>
          <w:lang w:val="en-US" w:eastAsia="zh-CN"/>
        </w:rPr>
        <w:t>2023年在局机关本级进行决算，2024年按相关规定作为独立法人单位进行决算。</w:t>
      </w:r>
    </w:p>
    <w:p>
      <w:pPr>
        <w:pStyle w:val="11"/>
        <w:autoSpaceDE w:val="0"/>
        <w:spacing w:line="594" w:lineRule="exact"/>
        <w:ind w:firstLine="643"/>
        <w:rPr>
          <w:rFonts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度本单位机关运行经费支出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rPr>
        <w:t>无</w:t>
      </w:r>
      <w:r>
        <w:rPr>
          <w:rFonts w:hint="default" w:ascii="Times New Roman" w:hAnsi="Times New Roman" w:eastAsia="方正仿宋_GBK" w:cs="Times New Roman"/>
          <w:sz w:val="32"/>
          <w:szCs w:val="32"/>
          <w:shd w:val="clear" w:color="auto" w:fill="FFFFFF"/>
        </w:rPr>
        <w:t>机关运行经费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机关运行经费较上年支出数无增减</w:t>
      </w:r>
      <w:r>
        <w:rPr>
          <w:rFonts w:hint="default" w:ascii="Times New Roman" w:hAnsi="Times New Roman" w:eastAsia="方正仿宋_GBK" w:cs="Times New Roman"/>
          <w:sz w:val="32"/>
          <w:szCs w:val="32"/>
          <w:shd w:val="clear" w:color="auto" w:fill="FFFFFF"/>
          <w:lang w:val="en-US" w:eastAsia="zh-CN"/>
        </w:rPr>
        <w:t>变化。</w:t>
      </w:r>
      <w:r>
        <w:rPr>
          <w:rFonts w:hint="default" w:ascii="Times New Roman" w:hAnsi="Times New Roman" w:eastAsia="方正仿宋_GBK" w:cs="Times New Roman"/>
          <w:sz w:val="32"/>
          <w:szCs w:val="32"/>
          <w:shd w:val="clear" w:color="auto" w:fill="FFFFFF"/>
        </w:rPr>
        <w:t>按照部门决算列报口径，我单位不在机关运行经费统计范围之内。</w:t>
      </w:r>
    </w:p>
    <w:p>
      <w:pPr>
        <w:pStyle w:val="11"/>
        <w:autoSpaceDE w:val="0"/>
        <w:spacing w:line="594" w:lineRule="exact"/>
        <w:ind w:firstLine="643"/>
        <w:rPr>
          <w:rFonts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1"/>
        <w:autoSpaceDE w:val="0"/>
        <w:spacing w:line="594" w:lineRule="exact"/>
        <w:ind w:firstLine="643"/>
        <w:rPr>
          <w:rFonts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度我单位未发生政府采购事项，无相关经费支出。</w:t>
      </w:r>
    </w:p>
    <w:p>
      <w:pPr>
        <w:pStyle w:val="16"/>
        <w:keepNext w:val="0"/>
        <w:keepLines w:val="0"/>
        <w:pageBreakBefore w:val="0"/>
        <w:tabs>
          <w:tab w:val="center" w:pos="4153"/>
          <w:tab w:val="left" w:pos="7275"/>
        </w:tabs>
        <w:kinsoku/>
        <w:wordWrap/>
        <w:overflowPunct/>
        <w:topLinePunct w:val="0"/>
        <w:autoSpaceDN/>
        <w:bidi w:val="0"/>
        <w:adjustRightInd/>
        <w:spacing w:line="594" w:lineRule="exact"/>
        <w:ind w:firstLine="640" w:firstLineChars="200"/>
        <w:textAlignment w:val="auto"/>
        <w:rPr>
          <w:rStyle w:val="10"/>
          <w:rFonts w:hint="default" w:ascii="Times New Roman" w:hAnsi="Times New Roman" w:eastAsia="仿宋" w:cs="Times New Roman"/>
          <w:sz w:val="32"/>
          <w:szCs w:val="32"/>
          <w:highlight w:val="none"/>
          <w:shd w:val="clear" w:color="auto" w:fill="FFFFFF"/>
        </w:rPr>
      </w:pPr>
      <w:r>
        <w:rPr>
          <w:rFonts w:hint="default" w:ascii="Times New Roman" w:hAnsi="Times New Roman" w:eastAsia="方正黑体_GBK" w:cs="Times New Roman"/>
          <w:color w:val="000000"/>
          <w:kern w:val="0"/>
          <w:sz w:val="32"/>
          <w:szCs w:val="32"/>
          <w:highlight w:val="none"/>
        </w:rPr>
        <w:t>五、预算绩效管理情况说明</w:t>
      </w:r>
    </w:p>
    <w:p>
      <w:pPr>
        <w:pStyle w:val="6"/>
        <w:keepNext w:val="0"/>
        <w:keepLines w:val="0"/>
        <w:pageBreakBefore w:val="0"/>
        <w:widowControl w:val="0"/>
        <w:suppressLineNumbers w:val="0"/>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楷体_GBK" w:cs="Times New Roman"/>
          <w:b w:val="0"/>
          <w:kern w:val="2"/>
          <w:sz w:val="32"/>
          <w:szCs w:val="32"/>
          <w:highlight w:val="none"/>
          <w:shd w:val="clear" w:color="auto" w:fill="FFFFFF"/>
        </w:rPr>
      </w:pPr>
      <w:r>
        <w:rPr>
          <w:rFonts w:hint="default" w:ascii="Times New Roman" w:hAnsi="Times New Roman" w:eastAsia="方正楷体_GBK" w:cs="Times New Roman"/>
          <w:b w:val="0"/>
          <w:kern w:val="2"/>
          <w:sz w:val="32"/>
          <w:szCs w:val="32"/>
          <w:highlight w:val="none"/>
          <w:shd w:val="clear" w:color="auto" w:fill="FFFFFF"/>
          <w:lang w:val="en-US" w:eastAsia="zh-CN" w:bidi="ar"/>
        </w:rPr>
        <w:t>（一）预算绩效管理工作开展情况</w:t>
      </w:r>
    </w:p>
    <w:p>
      <w:pPr>
        <w:pStyle w:val="6"/>
        <w:keepNext w:val="0"/>
        <w:keepLines w:val="0"/>
        <w:pageBreakBefore w:val="0"/>
        <w:widowControl/>
        <w:suppressLineNumbers w:val="0"/>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kern w:val="0"/>
          <w:sz w:val="32"/>
          <w:szCs w:val="32"/>
          <w:highlight w:val="none"/>
          <w:lang w:val="en-US" w:eastAsia="zh-CN" w:bidi="ar"/>
        </w:rPr>
        <w:t>根据预算绩效管理要求，我单位对1个项目开展了绩效自评，涉及财政拨款项目支出资金77.42万元。</w:t>
      </w:r>
    </w:p>
    <w:p>
      <w:pPr>
        <w:pStyle w:val="6"/>
        <w:keepNext w:val="0"/>
        <w:keepLines w:val="0"/>
        <w:pageBreakBefore w:val="0"/>
        <w:widowControl/>
        <w:suppressLineNumbers w:val="0"/>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楷体_GBK" w:cs="Times New Roman"/>
          <w:kern w:val="0"/>
          <w:sz w:val="32"/>
          <w:szCs w:val="32"/>
          <w:highlight w:val="none"/>
        </w:rPr>
      </w:pPr>
      <w:r>
        <w:rPr>
          <w:rFonts w:hint="default" w:ascii="Times New Roman" w:hAnsi="Times New Roman" w:eastAsia="方正楷体_GBK" w:cs="Times New Roman"/>
          <w:b w:val="0"/>
          <w:kern w:val="2"/>
          <w:sz w:val="32"/>
          <w:szCs w:val="32"/>
          <w:highlight w:val="none"/>
          <w:shd w:val="clear" w:color="auto" w:fill="FFFFFF"/>
          <w:lang w:val="en-US" w:eastAsia="zh-CN" w:bidi="ar"/>
        </w:rPr>
        <w:t>（二）</w:t>
      </w:r>
      <w:r>
        <w:rPr>
          <w:rFonts w:hint="default" w:ascii="Times New Roman" w:hAnsi="Times New Roman" w:eastAsia="方正楷体_GBK" w:cs="Times New Roman"/>
          <w:kern w:val="0"/>
          <w:sz w:val="32"/>
          <w:szCs w:val="32"/>
          <w:highlight w:val="none"/>
          <w:lang w:val="en-US" w:eastAsia="zh-CN" w:bidi="ar"/>
        </w:rPr>
        <w:t>绩效自评结果</w:t>
      </w:r>
    </w:p>
    <w:p>
      <w:pPr>
        <w:pStyle w:val="6"/>
        <w:keepNext w:val="0"/>
        <w:keepLines w:val="0"/>
        <w:pageBreakBefore w:val="0"/>
        <w:widowControl/>
        <w:suppressLineNumbers w:val="0"/>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kern w:val="2"/>
          <w:sz w:val="32"/>
          <w:szCs w:val="32"/>
          <w:highlight w:val="none"/>
          <w:shd w:val="clear" w:color="auto" w:fill="FFFFFF"/>
        </w:rPr>
      </w:pPr>
      <w:r>
        <w:rPr>
          <w:rFonts w:hint="default" w:ascii="Times New Roman" w:hAnsi="Times New Roman" w:eastAsia="方正仿宋_GBK" w:cs="Times New Roman"/>
          <w:color w:val="000000"/>
          <w:kern w:val="0"/>
          <w:sz w:val="32"/>
          <w:szCs w:val="32"/>
          <w:highlight w:val="none"/>
          <w:lang w:val="en-US" w:eastAsia="zh-CN" w:bidi="ar"/>
        </w:rPr>
        <w:t>绩效自评结果详见附件2024年度绩效自评公开表（《项目绩效自评结果汇总表》、《项目支出绩效自评表》）。</w:t>
      </w:r>
    </w:p>
    <w:p>
      <w:pPr>
        <w:pStyle w:val="6"/>
        <w:keepNext w:val="0"/>
        <w:keepLines w:val="0"/>
        <w:pageBreakBefore w:val="0"/>
        <w:widowControl w:val="0"/>
        <w:suppressLineNumbers w:val="0"/>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楷体_GBK" w:cs="Times New Roman"/>
          <w:b w:val="0"/>
          <w:kern w:val="2"/>
          <w:sz w:val="32"/>
          <w:szCs w:val="32"/>
          <w:highlight w:val="none"/>
          <w:shd w:val="clear" w:color="auto" w:fill="FFFFFF"/>
        </w:rPr>
      </w:pPr>
      <w:r>
        <w:rPr>
          <w:rFonts w:hint="default" w:ascii="Times New Roman" w:hAnsi="Times New Roman" w:eastAsia="方正楷体_GBK" w:cs="Times New Roman"/>
          <w:b w:val="0"/>
          <w:kern w:val="2"/>
          <w:sz w:val="32"/>
          <w:szCs w:val="32"/>
          <w:highlight w:val="none"/>
          <w:shd w:val="clear" w:color="auto" w:fill="FFFFFF"/>
          <w:lang w:val="en-US" w:eastAsia="zh-CN" w:bidi="ar"/>
        </w:rPr>
        <w:t>（三）财政绩效评价情况</w:t>
      </w:r>
    </w:p>
    <w:p>
      <w:pPr>
        <w:pStyle w:val="6"/>
        <w:keepNext w:val="0"/>
        <w:keepLines w:val="0"/>
        <w:pageBreakBefore w:val="0"/>
        <w:widowControl/>
        <w:suppressLineNumbers w:val="0"/>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区财政局未委托第三方对我单位开展绩效评价。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bCs/>
          <w:kern w:val="0"/>
          <w:sz w:val="32"/>
          <w:szCs w:val="32"/>
        </w:rPr>
      </w:pPr>
      <w:r>
        <w:rPr>
          <w:rStyle w:val="13"/>
          <w:rFonts w:hint="default" w:ascii="Times New Roman" w:hAnsi="Times New Roman" w:eastAsia="方正仿宋_GBK" w:cs="Times New Roman"/>
          <w:b/>
          <w:bCs/>
          <w:sz w:val="32"/>
          <w:szCs w:val="32"/>
          <w:shd w:val="clear" w:fill="FFFFFF"/>
        </w:rPr>
        <w:t xml:space="preserve"> </w:t>
      </w:r>
      <w:r>
        <w:rPr>
          <w:rStyle w:val="13"/>
          <w:rFonts w:hint="default" w:ascii="Times New Roman" w:hAnsi="Times New Roman" w:eastAsia="方正仿宋_GBK" w:cs="Times New Roman"/>
          <w:b/>
          <w:bCs/>
          <w:sz w:val="32"/>
          <w:szCs w:val="32"/>
          <w:shd w:val="clear" w:fill="FFFFFF"/>
          <w:lang w:val="en-US" w:eastAsia="zh-CN"/>
        </w:rPr>
        <w:t xml:space="preserve">  </w:t>
      </w:r>
      <w:r>
        <w:rPr>
          <w:rStyle w:val="10"/>
          <w:rFonts w:hint="default" w:ascii="Times New Roman" w:hAnsi="Times New Roman" w:eastAsia="黑体" w:cs="Times New Roman"/>
          <w:sz w:val="32"/>
          <w:szCs w:val="32"/>
          <w:shd w:val="clear" w:color="auto" w:fill="FFFFFF"/>
          <w:lang w:val="en-US" w:eastAsia="zh-CN" w:bidi="ar-SA"/>
        </w:rPr>
        <w:t xml:space="preserve"> </w:t>
      </w:r>
      <w:r>
        <w:rPr>
          <w:rStyle w:val="10"/>
          <w:rFonts w:hint="default" w:ascii="Times New Roman" w:hAnsi="Times New Roman" w:eastAsia="黑体" w:cs="Times New Roman"/>
          <w:b w:val="0"/>
          <w:bCs/>
          <w:sz w:val="32"/>
          <w:szCs w:val="32"/>
          <w:shd w:val="clear" w:color="auto" w:fill="FFFFFF"/>
          <w:lang w:val="en-US" w:eastAsia="zh-CN" w:bidi="ar-SA"/>
        </w:rPr>
        <w:t>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Cs/>
          <w:kern w:val="0"/>
          <w:sz w:val="32"/>
          <w:szCs w:val="32"/>
        </w:rPr>
      </w:pPr>
      <w:r>
        <w:rPr>
          <w:rStyle w:val="10"/>
          <w:rFonts w:hint="default" w:ascii="Times New Roman" w:hAnsi="Times New Roman" w:eastAsia="黑体" w:cs="Times New Roman"/>
          <w:b w:val="0"/>
          <w:bCs/>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本单位决算公开信息反馈和联系方式：023-40244078</w:t>
      </w:r>
    </w:p>
    <w:p>
      <w:pPr>
        <w:spacing w:line="594" w:lineRule="exact"/>
        <w:rPr>
          <w:rFonts w:hint="default" w:ascii="Times New Roman" w:hAnsi="Times New Roman"/>
          <w:sz w:val="18"/>
          <w:szCs w:val="18"/>
        </w:rPr>
      </w:pPr>
    </w:p>
    <w:sectPr>
      <w:headerReference r:id="rId3" w:type="default"/>
      <w:footerReference r:id="rId4" w:type="default"/>
      <w:pgSz w:w="11850" w:h="16783"/>
      <w:pgMar w:top="2098" w:right="1474" w:bottom="1984" w:left="1587" w:header="0" w:footer="283" w:gutter="0"/>
      <w:pgBorders>
        <w:top w:val="none" w:sz="0" w:space="0"/>
        <w:left w:val="none" w:sz="0" w:space="0"/>
        <w:bottom w:val="none" w:sz="0" w:space="0"/>
        <w:right w:val="none" w:sz="0" w:space="0"/>
      </w:pgBorders>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trackRevisions w:val="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0MmY4ZjI1OWIzYmEzMzg5MWE2ZDNiNmU3YWUzMWI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DB4D39"/>
    <w:rsid w:val="03B87EA0"/>
    <w:rsid w:val="03E3214F"/>
    <w:rsid w:val="044C50BA"/>
    <w:rsid w:val="05755AB5"/>
    <w:rsid w:val="05BC6D49"/>
    <w:rsid w:val="06194FF1"/>
    <w:rsid w:val="06A2550B"/>
    <w:rsid w:val="06F80EE2"/>
    <w:rsid w:val="07001CCA"/>
    <w:rsid w:val="07523E42"/>
    <w:rsid w:val="075678DB"/>
    <w:rsid w:val="077B465F"/>
    <w:rsid w:val="079D7CC7"/>
    <w:rsid w:val="08051BCA"/>
    <w:rsid w:val="081B4D16"/>
    <w:rsid w:val="0847104E"/>
    <w:rsid w:val="086C12F4"/>
    <w:rsid w:val="08705944"/>
    <w:rsid w:val="08BA052C"/>
    <w:rsid w:val="08DB07BA"/>
    <w:rsid w:val="0969353F"/>
    <w:rsid w:val="098305D0"/>
    <w:rsid w:val="09B1218B"/>
    <w:rsid w:val="0A3317EA"/>
    <w:rsid w:val="0A5C4B69"/>
    <w:rsid w:val="0A86124A"/>
    <w:rsid w:val="0AB54CC0"/>
    <w:rsid w:val="0B9335CE"/>
    <w:rsid w:val="0BF2311A"/>
    <w:rsid w:val="0C5A32DA"/>
    <w:rsid w:val="0C6D222C"/>
    <w:rsid w:val="0C7927C4"/>
    <w:rsid w:val="0C9B098C"/>
    <w:rsid w:val="0D673E11"/>
    <w:rsid w:val="0D8F1A4E"/>
    <w:rsid w:val="0DDA54E4"/>
    <w:rsid w:val="0E3A5F83"/>
    <w:rsid w:val="0E5B0D44"/>
    <w:rsid w:val="0F836721"/>
    <w:rsid w:val="0FA25D96"/>
    <w:rsid w:val="10524857"/>
    <w:rsid w:val="107B59E5"/>
    <w:rsid w:val="10810F58"/>
    <w:rsid w:val="10CC3887"/>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59670F4"/>
    <w:rsid w:val="163A6CEE"/>
    <w:rsid w:val="173708E3"/>
    <w:rsid w:val="17A1375C"/>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3C28E8"/>
    <w:rsid w:val="20642787"/>
    <w:rsid w:val="21556F04"/>
    <w:rsid w:val="22403BD3"/>
    <w:rsid w:val="22AD3177"/>
    <w:rsid w:val="235417B6"/>
    <w:rsid w:val="235977ED"/>
    <w:rsid w:val="23B21E9A"/>
    <w:rsid w:val="24B92327"/>
    <w:rsid w:val="24C14514"/>
    <w:rsid w:val="24E37FCC"/>
    <w:rsid w:val="252D4D73"/>
    <w:rsid w:val="2533755C"/>
    <w:rsid w:val="25791755"/>
    <w:rsid w:val="26396DF4"/>
    <w:rsid w:val="27167136"/>
    <w:rsid w:val="271B442C"/>
    <w:rsid w:val="27B23302"/>
    <w:rsid w:val="27ED61D0"/>
    <w:rsid w:val="281F18CC"/>
    <w:rsid w:val="28521CAE"/>
    <w:rsid w:val="28D37765"/>
    <w:rsid w:val="29100B14"/>
    <w:rsid w:val="29310A5F"/>
    <w:rsid w:val="29C37A35"/>
    <w:rsid w:val="2A076083"/>
    <w:rsid w:val="2A73162E"/>
    <w:rsid w:val="2A76270D"/>
    <w:rsid w:val="2B167953"/>
    <w:rsid w:val="2B200583"/>
    <w:rsid w:val="2B2729C0"/>
    <w:rsid w:val="2B8209DE"/>
    <w:rsid w:val="2B821C91"/>
    <w:rsid w:val="2BF81A22"/>
    <w:rsid w:val="2C636760"/>
    <w:rsid w:val="2C6762A3"/>
    <w:rsid w:val="2CC0018F"/>
    <w:rsid w:val="2E402A7A"/>
    <w:rsid w:val="2FCA4B37"/>
    <w:rsid w:val="2FE029D7"/>
    <w:rsid w:val="2FF06E00"/>
    <w:rsid w:val="30586FEC"/>
    <w:rsid w:val="30BE67FD"/>
    <w:rsid w:val="315F0B22"/>
    <w:rsid w:val="31673D54"/>
    <w:rsid w:val="31A15828"/>
    <w:rsid w:val="31D84415"/>
    <w:rsid w:val="32285F6F"/>
    <w:rsid w:val="32770556"/>
    <w:rsid w:val="329C0913"/>
    <w:rsid w:val="32AA0460"/>
    <w:rsid w:val="3337290D"/>
    <w:rsid w:val="33E31118"/>
    <w:rsid w:val="33EF7674"/>
    <w:rsid w:val="342D7BC6"/>
    <w:rsid w:val="34B16714"/>
    <w:rsid w:val="352930DB"/>
    <w:rsid w:val="35573069"/>
    <w:rsid w:val="355F6038"/>
    <w:rsid w:val="358C217E"/>
    <w:rsid w:val="364454FF"/>
    <w:rsid w:val="36C9128A"/>
    <w:rsid w:val="37841E99"/>
    <w:rsid w:val="37BF1123"/>
    <w:rsid w:val="3832026F"/>
    <w:rsid w:val="383C3F15"/>
    <w:rsid w:val="387A0F38"/>
    <w:rsid w:val="38BE4696"/>
    <w:rsid w:val="3939115E"/>
    <w:rsid w:val="39B82A39"/>
    <w:rsid w:val="39C42CA8"/>
    <w:rsid w:val="39DC4FD6"/>
    <w:rsid w:val="39F03D7A"/>
    <w:rsid w:val="39F33306"/>
    <w:rsid w:val="3A0E42BE"/>
    <w:rsid w:val="3A2C1C67"/>
    <w:rsid w:val="3A6A77C9"/>
    <w:rsid w:val="3ADD7F09"/>
    <w:rsid w:val="3B1705E5"/>
    <w:rsid w:val="3B18334B"/>
    <w:rsid w:val="3B252F49"/>
    <w:rsid w:val="3B36794F"/>
    <w:rsid w:val="3B6F6EE0"/>
    <w:rsid w:val="3BE53517"/>
    <w:rsid w:val="3C566AD6"/>
    <w:rsid w:val="3C594871"/>
    <w:rsid w:val="3C6A5B02"/>
    <w:rsid w:val="3D083B3A"/>
    <w:rsid w:val="3D2757A1"/>
    <w:rsid w:val="3D3D4FC4"/>
    <w:rsid w:val="3D4F7067"/>
    <w:rsid w:val="3D6D2A68"/>
    <w:rsid w:val="3DDA53A3"/>
    <w:rsid w:val="3DDF3AB1"/>
    <w:rsid w:val="3E1D0952"/>
    <w:rsid w:val="3E42660A"/>
    <w:rsid w:val="3E7555B1"/>
    <w:rsid w:val="3E787ED9"/>
    <w:rsid w:val="3EFE5B6B"/>
    <w:rsid w:val="3F032E93"/>
    <w:rsid w:val="3F0527E5"/>
    <w:rsid w:val="3F4C52C6"/>
    <w:rsid w:val="3F694D83"/>
    <w:rsid w:val="3F885DCC"/>
    <w:rsid w:val="3FCD675E"/>
    <w:rsid w:val="4004000C"/>
    <w:rsid w:val="40760DD1"/>
    <w:rsid w:val="40BD5482"/>
    <w:rsid w:val="411B6CE5"/>
    <w:rsid w:val="412070D7"/>
    <w:rsid w:val="41314E40"/>
    <w:rsid w:val="41BF2BBB"/>
    <w:rsid w:val="41E0734B"/>
    <w:rsid w:val="426C1EA8"/>
    <w:rsid w:val="42736402"/>
    <w:rsid w:val="42E86A87"/>
    <w:rsid w:val="43307B09"/>
    <w:rsid w:val="439A3EB9"/>
    <w:rsid w:val="43BB152F"/>
    <w:rsid w:val="444913E8"/>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BA92A9B"/>
    <w:rsid w:val="4BFB7773"/>
    <w:rsid w:val="4C6870EB"/>
    <w:rsid w:val="4D1F53CA"/>
    <w:rsid w:val="4D5953F8"/>
    <w:rsid w:val="4DAC4ACA"/>
    <w:rsid w:val="4DBE01D2"/>
    <w:rsid w:val="4EFD467F"/>
    <w:rsid w:val="4F0C6BA3"/>
    <w:rsid w:val="4F186D58"/>
    <w:rsid w:val="504B6EAA"/>
    <w:rsid w:val="50F06B6E"/>
    <w:rsid w:val="51D21804"/>
    <w:rsid w:val="52234D33"/>
    <w:rsid w:val="522F6E0C"/>
    <w:rsid w:val="52463BA1"/>
    <w:rsid w:val="52F163D4"/>
    <w:rsid w:val="52F50BF9"/>
    <w:rsid w:val="531A2DB4"/>
    <w:rsid w:val="53C0244D"/>
    <w:rsid w:val="53DD4D4E"/>
    <w:rsid w:val="53E578CE"/>
    <w:rsid w:val="541330F0"/>
    <w:rsid w:val="54272666"/>
    <w:rsid w:val="543B029D"/>
    <w:rsid w:val="545E029B"/>
    <w:rsid w:val="54861779"/>
    <w:rsid w:val="55084A4C"/>
    <w:rsid w:val="552256E1"/>
    <w:rsid w:val="554E5773"/>
    <w:rsid w:val="555829E0"/>
    <w:rsid w:val="555A3CBC"/>
    <w:rsid w:val="5582012B"/>
    <w:rsid w:val="558E4E05"/>
    <w:rsid w:val="55BE2E85"/>
    <w:rsid w:val="56530F5D"/>
    <w:rsid w:val="567700D3"/>
    <w:rsid w:val="56FF7E9E"/>
    <w:rsid w:val="57145CC0"/>
    <w:rsid w:val="578867FC"/>
    <w:rsid w:val="57915F1B"/>
    <w:rsid w:val="582632A6"/>
    <w:rsid w:val="5842572D"/>
    <w:rsid w:val="5A3B59D6"/>
    <w:rsid w:val="5AD134D8"/>
    <w:rsid w:val="5BF41F67"/>
    <w:rsid w:val="5C263CE4"/>
    <w:rsid w:val="5C525B41"/>
    <w:rsid w:val="5C5D2777"/>
    <w:rsid w:val="5CF66BF3"/>
    <w:rsid w:val="5D290C69"/>
    <w:rsid w:val="5DA80C2C"/>
    <w:rsid w:val="5EAF2A8F"/>
    <w:rsid w:val="5F2D4A41"/>
    <w:rsid w:val="5F516DDF"/>
    <w:rsid w:val="5F75EFF6"/>
    <w:rsid w:val="60C74F6C"/>
    <w:rsid w:val="61015958"/>
    <w:rsid w:val="61025A59"/>
    <w:rsid w:val="613D5BBC"/>
    <w:rsid w:val="61536C39"/>
    <w:rsid w:val="62944DD7"/>
    <w:rsid w:val="6319381F"/>
    <w:rsid w:val="63A27635"/>
    <w:rsid w:val="63C25DC5"/>
    <w:rsid w:val="63C62057"/>
    <w:rsid w:val="64571EF5"/>
    <w:rsid w:val="648176E8"/>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5D51EA"/>
    <w:rsid w:val="696C0310"/>
    <w:rsid w:val="69BE0DE5"/>
    <w:rsid w:val="69C62ADF"/>
    <w:rsid w:val="6A6C7940"/>
    <w:rsid w:val="6A8919DC"/>
    <w:rsid w:val="6A9F1565"/>
    <w:rsid w:val="6AAD2300"/>
    <w:rsid w:val="6B474EF5"/>
    <w:rsid w:val="6BC938E5"/>
    <w:rsid w:val="6C0A5AC5"/>
    <w:rsid w:val="6C560CAE"/>
    <w:rsid w:val="6C576495"/>
    <w:rsid w:val="6C693830"/>
    <w:rsid w:val="6D903FF5"/>
    <w:rsid w:val="6DA955B8"/>
    <w:rsid w:val="6DE346AB"/>
    <w:rsid w:val="6DE5391A"/>
    <w:rsid w:val="6ED000F6"/>
    <w:rsid w:val="6EFD1324"/>
    <w:rsid w:val="6F5A53AC"/>
    <w:rsid w:val="6FAC003D"/>
    <w:rsid w:val="6FD926BF"/>
    <w:rsid w:val="6FE55E12"/>
    <w:rsid w:val="6FE73160"/>
    <w:rsid w:val="6FFB2E76"/>
    <w:rsid w:val="708F6F7F"/>
    <w:rsid w:val="70D94BD3"/>
    <w:rsid w:val="71574775"/>
    <w:rsid w:val="71C34D91"/>
    <w:rsid w:val="725F0E08"/>
    <w:rsid w:val="72DB435C"/>
    <w:rsid w:val="72E2613A"/>
    <w:rsid w:val="72F771F4"/>
    <w:rsid w:val="73934AD2"/>
    <w:rsid w:val="750837F0"/>
    <w:rsid w:val="754758CF"/>
    <w:rsid w:val="75595ECD"/>
    <w:rsid w:val="764F62AB"/>
    <w:rsid w:val="765C45EC"/>
    <w:rsid w:val="768A7619"/>
    <w:rsid w:val="76BD23AB"/>
    <w:rsid w:val="76CE2AF9"/>
    <w:rsid w:val="772E1EBA"/>
    <w:rsid w:val="77AC051A"/>
    <w:rsid w:val="781926BC"/>
    <w:rsid w:val="796D60A4"/>
    <w:rsid w:val="79A031D5"/>
    <w:rsid w:val="79B47FDF"/>
    <w:rsid w:val="79E569A9"/>
    <w:rsid w:val="7A1525F7"/>
    <w:rsid w:val="7AE448ED"/>
    <w:rsid w:val="7B420052"/>
    <w:rsid w:val="7BD06A28"/>
    <w:rsid w:val="7C3A7C0B"/>
    <w:rsid w:val="7C5248E4"/>
    <w:rsid w:val="7C566698"/>
    <w:rsid w:val="7C5866A3"/>
    <w:rsid w:val="7D7406BB"/>
    <w:rsid w:val="7DE94331"/>
    <w:rsid w:val="7F446A19"/>
    <w:rsid w:val="7F7452B9"/>
    <w:rsid w:val="7FB61155"/>
    <w:rsid w:val="F7FDE878"/>
    <w:rsid w:val="FCF6F7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10281</Words>
  <Characters>24537</Characters>
  <Lines>186</Lines>
  <Paragraphs>52</Paragraphs>
  <TotalTime>20</TotalTime>
  <ScaleCrop>false</ScaleCrop>
  <LinksUpToDate>false</LinksUpToDate>
  <CharactersWithSpaces>25433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Administrator</cp:lastModifiedBy>
  <dcterms:modified xsi:type="dcterms:W3CDTF">2025-10-15T03:16:00Z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